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7E20F1" w:rsidRDefault="0062605C" w:rsidP="0062605C">
      <w:pPr>
        <w:jc w:val="center"/>
        <w:rPr>
          <w:b/>
          <w:bCs/>
          <w:color w:val="FF0000"/>
          <w:sz w:val="32"/>
          <w:szCs w:val="32"/>
        </w:rPr>
      </w:pPr>
      <w:r w:rsidRPr="007E20F1">
        <w:rPr>
          <w:noProof/>
          <w:sz w:val="32"/>
          <w:szCs w:val="32"/>
          <w:lang w:bidi="ar-SA"/>
        </w:rPr>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r w:rsidR="007E20F1" w:rsidRPr="007E20F1">
        <w:rPr>
          <w:sz w:val="32"/>
          <w:szCs w:val="32"/>
        </w:rPr>
        <w:t xml:space="preserve"> </w:t>
      </w:r>
      <w:r w:rsidR="007E20F1" w:rsidRPr="007E20F1">
        <w:rPr>
          <w:rStyle w:val="Hyperlink"/>
          <w:b/>
          <w:bCs/>
          <w:color w:val="FF0000"/>
          <w:sz w:val="32"/>
          <w:szCs w:val="32"/>
          <w:u w:val="none"/>
        </w:rPr>
        <w:t>Üleskutse parimate tavade leidmiseks lapsehoolduspoliitika valdkonnas</w:t>
      </w:r>
    </w:p>
    <w:p w:rsidR="0062605C" w:rsidRPr="007E20F1" w:rsidRDefault="0062605C" w:rsidP="0062605C">
      <w:pPr>
        <w:jc w:val="both"/>
        <w:rPr>
          <w:sz w:val="28"/>
          <w:szCs w:val="28"/>
        </w:rPr>
      </w:pPr>
    </w:p>
    <w:p w:rsidR="0062605C" w:rsidRPr="007E20F1" w:rsidRDefault="007E20F1" w:rsidP="0062605C">
      <w:pPr>
        <w:jc w:val="both"/>
        <w:rPr>
          <w:b/>
          <w:color w:val="FF0000"/>
          <w:sz w:val="28"/>
          <w:szCs w:val="28"/>
        </w:rPr>
      </w:pPr>
      <w:r w:rsidRPr="007E20F1">
        <w:rPr>
          <w:b/>
          <w:color w:val="FF0000"/>
          <w:sz w:val="28"/>
          <w:szCs w:val="28"/>
        </w:rPr>
        <w:t>Lapsed on me tulevik.</w:t>
      </w:r>
    </w:p>
    <w:p w:rsidR="0062605C" w:rsidRPr="007E20F1" w:rsidRDefault="0062605C" w:rsidP="0062605C">
      <w:pPr>
        <w:jc w:val="both"/>
        <w:rPr>
          <w:sz w:val="28"/>
          <w:szCs w:val="28"/>
        </w:rPr>
      </w:pPr>
    </w:p>
    <w:p w:rsidR="007E20F1" w:rsidRPr="007E20F1" w:rsidRDefault="007E20F1" w:rsidP="007E20F1">
      <w:pPr>
        <w:jc w:val="both"/>
        <w:rPr>
          <w:sz w:val="28"/>
          <w:szCs w:val="28"/>
        </w:rPr>
      </w:pPr>
      <w:r w:rsidRPr="007E20F1">
        <w:rPr>
          <w:sz w:val="28"/>
          <w:szCs w:val="28"/>
        </w:rPr>
        <w:t xml:space="preserve">20. novembril 2020 toimunud ülemaailmse laste päeva puhul esitas meie rühm koostöös Euroopa edumeelsete uuringute sihtasutusega (FEPS) </w:t>
      </w:r>
      <w:hyperlink r:id="rId8" w:history="1">
        <w:r w:rsidRPr="007E20F1">
          <w:rPr>
            <w:rStyle w:val="Hyperlink"/>
            <w:color w:val="FF0000"/>
            <w:sz w:val="28"/>
            <w:szCs w:val="28"/>
          </w:rPr>
          <w:t>üleskutse luua lasteliit</w:t>
        </w:r>
      </w:hyperlink>
      <w:r w:rsidRPr="007E20F1">
        <w:rPr>
          <w:sz w:val="28"/>
          <w:szCs w:val="28"/>
        </w:rPr>
        <w:t xml:space="preserve">, mille üldeesmärk on parandada puudustkannatavate laste olukorda ja edendada kõigi laste võrdseid võimalusi ELis järgmiste meetmete abil: </w:t>
      </w:r>
    </w:p>
    <w:p w:rsidR="007E20F1" w:rsidRPr="007E20F1" w:rsidRDefault="007E20F1" w:rsidP="007E20F1">
      <w:pPr>
        <w:jc w:val="both"/>
        <w:rPr>
          <w:sz w:val="28"/>
          <w:szCs w:val="28"/>
        </w:rPr>
      </w:pPr>
    </w:p>
    <w:p w:rsidR="007E20F1" w:rsidRPr="007E20F1" w:rsidRDefault="007E20F1" w:rsidP="007E20F1">
      <w:pPr>
        <w:pStyle w:val="ListParagraph"/>
        <w:numPr>
          <w:ilvl w:val="0"/>
          <w:numId w:val="13"/>
        </w:numPr>
        <w:jc w:val="both"/>
        <w:rPr>
          <w:sz w:val="28"/>
          <w:szCs w:val="28"/>
        </w:rPr>
      </w:pPr>
      <w:r w:rsidRPr="007E20F1">
        <w:rPr>
          <w:sz w:val="28"/>
          <w:szCs w:val="28"/>
        </w:rPr>
        <w:t>Euroopa lastegarantii kiire jõustumine;</w:t>
      </w:r>
    </w:p>
    <w:p w:rsidR="007E20F1" w:rsidRPr="007E20F1" w:rsidRDefault="007E20F1" w:rsidP="007E20F1">
      <w:pPr>
        <w:pStyle w:val="ListParagraph"/>
        <w:numPr>
          <w:ilvl w:val="0"/>
          <w:numId w:val="13"/>
        </w:numPr>
        <w:jc w:val="both"/>
        <w:rPr>
          <w:sz w:val="28"/>
          <w:szCs w:val="28"/>
        </w:rPr>
      </w:pPr>
      <w:r w:rsidRPr="007E20F1">
        <w:rPr>
          <w:sz w:val="28"/>
          <w:szCs w:val="28"/>
        </w:rPr>
        <w:t>Euroopa laste huvides toimuva investeerimise ökosüsteemi väljatöötamine, alustades taasterahastu „NextGenerationEU“ rahastuse nõuetekohasest kavandamisest;</w:t>
      </w:r>
    </w:p>
    <w:p w:rsidR="007E20F1" w:rsidRPr="007E20F1" w:rsidRDefault="007E20F1" w:rsidP="007E20F1">
      <w:pPr>
        <w:pStyle w:val="ListParagraph"/>
        <w:numPr>
          <w:ilvl w:val="0"/>
          <w:numId w:val="13"/>
        </w:numPr>
        <w:jc w:val="both"/>
        <w:rPr>
          <w:sz w:val="28"/>
          <w:szCs w:val="28"/>
        </w:rPr>
      </w:pPr>
      <w:proofErr w:type="gramStart"/>
      <w:r w:rsidRPr="007E20F1">
        <w:rPr>
          <w:sz w:val="28"/>
          <w:szCs w:val="28"/>
        </w:rPr>
        <w:t>kõigile</w:t>
      </w:r>
      <w:proofErr w:type="gramEnd"/>
      <w:r w:rsidRPr="007E20F1">
        <w:rPr>
          <w:sz w:val="28"/>
          <w:szCs w:val="28"/>
        </w:rPr>
        <w:t xml:space="preserve"> võrdne juurdepääs kvaliteetsele ja kaasavale alusharidusele ja lapsehoiule.</w:t>
      </w:r>
    </w:p>
    <w:p w:rsidR="007E20F1" w:rsidRPr="007E20F1" w:rsidRDefault="007E20F1" w:rsidP="007E20F1">
      <w:pPr>
        <w:jc w:val="both"/>
        <w:rPr>
          <w:sz w:val="28"/>
          <w:szCs w:val="28"/>
        </w:rPr>
      </w:pPr>
    </w:p>
    <w:p w:rsidR="007E20F1" w:rsidRPr="007E20F1" w:rsidRDefault="007E20F1" w:rsidP="007E20F1">
      <w:pPr>
        <w:jc w:val="both"/>
        <w:rPr>
          <w:sz w:val="28"/>
          <w:szCs w:val="28"/>
        </w:rPr>
      </w:pPr>
      <w:r w:rsidRPr="007E20F1">
        <w:rPr>
          <w:sz w:val="28"/>
          <w:szCs w:val="28"/>
        </w:rPr>
        <w:t xml:space="preserve">Üleskutsele kirjutasid alla kohalikud </w:t>
      </w:r>
      <w:proofErr w:type="gramStart"/>
      <w:r w:rsidRPr="007E20F1">
        <w:rPr>
          <w:sz w:val="28"/>
          <w:szCs w:val="28"/>
        </w:rPr>
        <w:t>ja</w:t>
      </w:r>
      <w:proofErr w:type="gramEnd"/>
      <w:r w:rsidRPr="007E20F1">
        <w:rPr>
          <w:sz w:val="28"/>
          <w:szCs w:val="28"/>
        </w:rPr>
        <w:t xml:space="preserve"> piirkondlikud omavalitsused, Euroopa Parlamendi liikmed, riikide parlamendiliikmed, teadlased, praktikud ja eraisikud.</w:t>
      </w:r>
    </w:p>
    <w:p w:rsidR="007E20F1" w:rsidRPr="007E20F1" w:rsidRDefault="007E20F1" w:rsidP="007E20F1">
      <w:pPr>
        <w:jc w:val="both"/>
        <w:rPr>
          <w:sz w:val="28"/>
          <w:szCs w:val="28"/>
        </w:rPr>
      </w:pPr>
    </w:p>
    <w:p w:rsidR="007E20F1" w:rsidRPr="007E20F1" w:rsidRDefault="007E20F1" w:rsidP="007E20F1">
      <w:pPr>
        <w:jc w:val="both"/>
        <w:rPr>
          <w:sz w:val="28"/>
          <w:szCs w:val="28"/>
        </w:rPr>
      </w:pPr>
      <w:r w:rsidRPr="007E20F1">
        <w:rPr>
          <w:sz w:val="28"/>
          <w:szCs w:val="28"/>
        </w:rPr>
        <w:t xml:space="preserve">Oleme kõik teadlikud, </w:t>
      </w:r>
      <w:proofErr w:type="gramStart"/>
      <w:r w:rsidRPr="007E20F1">
        <w:rPr>
          <w:sz w:val="28"/>
          <w:szCs w:val="28"/>
        </w:rPr>
        <w:t>et</w:t>
      </w:r>
      <w:proofErr w:type="gramEnd"/>
      <w:r w:rsidRPr="007E20F1">
        <w:rPr>
          <w:sz w:val="28"/>
          <w:szCs w:val="28"/>
        </w:rPr>
        <w:t xml:space="preserve"> laste olukord Euroopa Liidus on COVID-19 pandeemia tõttu eriti halvenenud ning kiire tegutsemine on meie poliitilise perekonna peamine poliitiline nõudlus.</w:t>
      </w:r>
    </w:p>
    <w:p w:rsidR="007E20F1" w:rsidRPr="007E20F1" w:rsidRDefault="007E20F1" w:rsidP="007E20F1">
      <w:pPr>
        <w:jc w:val="both"/>
        <w:rPr>
          <w:sz w:val="28"/>
          <w:szCs w:val="28"/>
        </w:rPr>
      </w:pPr>
    </w:p>
    <w:p w:rsidR="007E20F1" w:rsidRPr="007E20F1" w:rsidRDefault="007E20F1" w:rsidP="007E20F1">
      <w:pPr>
        <w:jc w:val="both"/>
        <w:rPr>
          <w:sz w:val="28"/>
          <w:szCs w:val="28"/>
        </w:rPr>
      </w:pPr>
      <w:r w:rsidRPr="007E20F1">
        <w:rPr>
          <w:sz w:val="28"/>
          <w:szCs w:val="28"/>
        </w:rPr>
        <w:t xml:space="preserve">Hiljuti vastuvõetud Euroopa sotsiaalõiguste samba rakendamise tegevuskavas on sätestatud, </w:t>
      </w:r>
      <w:proofErr w:type="gramStart"/>
      <w:r w:rsidRPr="007E20F1">
        <w:rPr>
          <w:sz w:val="28"/>
          <w:szCs w:val="28"/>
        </w:rPr>
        <w:t>et</w:t>
      </w:r>
      <w:proofErr w:type="gramEnd"/>
      <w:r w:rsidRPr="007E20F1">
        <w:rPr>
          <w:sz w:val="28"/>
          <w:szCs w:val="28"/>
        </w:rPr>
        <w:t xml:space="preserve"> 15 miljonist inimesest, kes tuleb 2030. </w:t>
      </w:r>
      <w:proofErr w:type="gramStart"/>
      <w:r w:rsidRPr="007E20F1">
        <w:rPr>
          <w:sz w:val="28"/>
          <w:szCs w:val="28"/>
        </w:rPr>
        <w:t>aastaks</w:t>
      </w:r>
      <w:proofErr w:type="gramEnd"/>
      <w:r w:rsidRPr="007E20F1">
        <w:rPr>
          <w:sz w:val="28"/>
          <w:szCs w:val="28"/>
        </w:rPr>
        <w:t xml:space="preserve"> vaesusest või sotsiaalsest tõrjutusest välja tuua, peaks vähemalt 5 miljonit olema lapsed. Selleks palutakse laste vaesusest kõige enam mõjutatud liikmesriikidel investeerida vähemalt 25 % oma ESF+ vahenditest vaesuse ja sotsiaalse tõrjutuse vastasesse võitlusse, </w:t>
      </w:r>
      <w:r w:rsidRPr="007E20F1">
        <w:rPr>
          <w:sz w:val="28"/>
          <w:szCs w:val="28"/>
        </w:rPr>
        <w:lastRenderedPageBreak/>
        <w:t>millest 5 % tuleks suunata laste vaesuse vastu võitlemise meetmetesse. Tulevik näitab, kas nõukogu selle heaks kiidab.</w:t>
      </w:r>
    </w:p>
    <w:p w:rsidR="007E20F1" w:rsidRPr="007E20F1" w:rsidRDefault="007E20F1" w:rsidP="007E20F1">
      <w:pPr>
        <w:jc w:val="both"/>
        <w:rPr>
          <w:sz w:val="28"/>
          <w:szCs w:val="28"/>
        </w:rPr>
      </w:pPr>
    </w:p>
    <w:p w:rsidR="007E20F1" w:rsidRPr="007E20F1" w:rsidRDefault="007E20F1" w:rsidP="007E20F1">
      <w:pPr>
        <w:jc w:val="both"/>
        <w:rPr>
          <w:sz w:val="28"/>
          <w:szCs w:val="28"/>
        </w:rPr>
      </w:pPr>
      <w:r w:rsidRPr="007E20F1">
        <w:rPr>
          <w:sz w:val="28"/>
          <w:szCs w:val="28"/>
        </w:rPr>
        <w:t>Seepärast tahaksime 2021. </w:t>
      </w:r>
      <w:proofErr w:type="gramStart"/>
      <w:r w:rsidRPr="007E20F1">
        <w:rPr>
          <w:sz w:val="28"/>
          <w:szCs w:val="28"/>
        </w:rPr>
        <w:t>aastal</w:t>
      </w:r>
      <w:proofErr w:type="gramEnd"/>
      <w:r w:rsidRPr="007E20F1">
        <w:rPr>
          <w:sz w:val="28"/>
          <w:szCs w:val="28"/>
        </w:rPr>
        <w:t xml:space="preserve"> korraldada poliitika- ja teavituskampaania, et toetada lasteliitu Teie tegevuse ja toetuse abil. Kuna just Teie seisate lapsi toetava poliitika kohapeal rakendamise esirinnas, olete meie parimad saadikud. Seepärast kutsume Teid üles jagama oma parimaid tavasid lapsehoolduspoliitika valdkonnas.</w:t>
      </w:r>
    </w:p>
    <w:p w:rsidR="007E20F1" w:rsidRPr="007E20F1" w:rsidRDefault="007E20F1" w:rsidP="007E20F1">
      <w:pPr>
        <w:jc w:val="both"/>
        <w:rPr>
          <w:sz w:val="28"/>
          <w:szCs w:val="28"/>
        </w:rPr>
      </w:pPr>
    </w:p>
    <w:p w:rsidR="007E20F1" w:rsidRPr="007E20F1" w:rsidRDefault="007E20F1" w:rsidP="007E20F1">
      <w:pPr>
        <w:jc w:val="both"/>
        <w:rPr>
          <w:sz w:val="28"/>
          <w:szCs w:val="28"/>
        </w:rPr>
      </w:pPr>
      <w:r w:rsidRPr="007E20F1">
        <w:rPr>
          <w:sz w:val="28"/>
          <w:szCs w:val="28"/>
        </w:rPr>
        <w:t xml:space="preserve">Parimad tavad võivad olla seotud järgmisega: avalike lapsehooldusteenuste tagamine </w:t>
      </w:r>
      <w:proofErr w:type="gramStart"/>
      <w:r w:rsidRPr="007E20F1">
        <w:rPr>
          <w:sz w:val="28"/>
          <w:szCs w:val="28"/>
        </w:rPr>
        <w:t>ja</w:t>
      </w:r>
      <w:proofErr w:type="gramEnd"/>
      <w:r w:rsidRPr="007E20F1">
        <w:rPr>
          <w:sz w:val="28"/>
          <w:szCs w:val="28"/>
        </w:rPr>
        <w:t xml:space="preserve"> neile juurdepääsu suurendamine; konkreetsete meetmete võtmine ebasoodsas olukorras olevate laste jaoks; lapseõiguste ja õiguspäraste ootuste tagamine; lastele põhisissetuleku või neile kasu toovate sissetuleku ülekandmise skeemide loomine; kaasavate õpitulemuste edendamine; õppekavad ja õpikeskkond, mis arendavad 21. </w:t>
      </w:r>
      <w:proofErr w:type="gramStart"/>
      <w:r w:rsidRPr="007E20F1">
        <w:rPr>
          <w:sz w:val="28"/>
          <w:szCs w:val="28"/>
        </w:rPr>
        <w:t>sajandi</w:t>
      </w:r>
      <w:proofErr w:type="gramEnd"/>
      <w:r w:rsidRPr="007E20F1">
        <w:rPr>
          <w:sz w:val="28"/>
          <w:szCs w:val="28"/>
        </w:rPr>
        <w:t xml:space="preserve"> oskusi kõigi laste jaoks; pedagoogiliste projektide loomine, et toetada õpetajaid ja teisi haridustöötajaid kui muutuste esilekutsujaid; lapsevanemate ja kogukondade demokraatliku osalemise edendamine ning kaasamine õppesse.</w:t>
      </w:r>
    </w:p>
    <w:p w:rsidR="007E20F1" w:rsidRPr="007E20F1" w:rsidRDefault="007E20F1" w:rsidP="007E20F1">
      <w:pPr>
        <w:jc w:val="both"/>
        <w:rPr>
          <w:sz w:val="28"/>
          <w:szCs w:val="28"/>
        </w:rPr>
      </w:pPr>
    </w:p>
    <w:p w:rsidR="007E20F1" w:rsidRPr="007E20F1" w:rsidRDefault="007E20F1" w:rsidP="007E20F1">
      <w:pPr>
        <w:jc w:val="both"/>
        <w:rPr>
          <w:b/>
          <w:sz w:val="28"/>
          <w:szCs w:val="28"/>
        </w:rPr>
      </w:pPr>
      <w:r w:rsidRPr="007E20F1">
        <w:rPr>
          <w:b/>
          <w:sz w:val="28"/>
          <w:szCs w:val="28"/>
        </w:rPr>
        <w:t>Oma panuse saate anda, tehes järgmist:</w:t>
      </w:r>
    </w:p>
    <w:p w:rsidR="007E20F1" w:rsidRPr="007E20F1" w:rsidRDefault="007E20F1" w:rsidP="007E20F1">
      <w:pPr>
        <w:jc w:val="both"/>
        <w:rPr>
          <w:b/>
          <w:sz w:val="28"/>
          <w:szCs w:val="28"/>
        </w:rPr>
      </w:pPr>
    </w:p>
    <w:p w:rsidR="007E20F1" w:rsidRPr="007E20F1" w:rsidRDefault="007E20F1" w:rsidP="007E20F1">
      <w:pPr>
        <w:jc w:val="both"/>
        <w:rPr>
          <w:sz w:val="28"/>
          <w:szCs w:val="28"/>
        </w:rPr>
      </w:pPr>
      <w:r w:rsidRPr="007E20F1">
        <w:rPr>
          <w:b/>
          <w:sz w:val="28"/>
          <w:szCs w:val="28"/>
        </w:rPr>
        <w:t xml:space="preserve">i) </w:t>
      </w:r>
      <w:r w:rsidRPr="007E20F1">
        <w:rPr>
          <w:b/>
          <w:sz w:val="28"/>
          <w:szCs w:val="28"/>
        </w:rPr>
        <w:tab/>
      </w:r>
      <w:proofErr w:type="gramStart"/>
      <w:r w:rsidRPr="007E20F1">
        <w:rPr>
          <w:b/>
          <w:sz w:val="28"/>
          <w:szCs w:val="28"/>
        </w:rPr>
        <w:t>kirjutades</w:t>
      </w:r>
      <w:proofErr w:type="gramEnd"/>
      <w:r w:rsidRPr="007E20F1">
        <w:rPr>
          <w:b/>
          <w:sz w:val="28"/>
          <w:szCs w:val="28"/>
        </w:rPr>
        <w:t xml:space="preserve"> umbes 800-sõnalise teksti lapsehoolduspoliitika rakendamise kohta Teie linnades/piirkondades ja Teie poliitilised seisukohad selle kohta, miks lapsehoolduspoliitika on oluline </w:t>
      </w:r>
      <w:r w:rsidRPr="007E20F1">
        <w:rPr>
          <w:sz w:val="28"/>
          <w:szCs w:val="28"/>
        </w:rPr>
        <w:t>(väga rõõmustav oleks, kui saaksite saata meile oma teksti juurde ka fotosid või videoid),</w:t>
      </w:r>
    </w:p>
    <w:p w:rsidR="007E20F1" w:rsidRPr="007E20F1" w:rsidRDefault="007E20F1" w:rsidP="007E20F1">
      <w:pPr>
        <w:jc w:val="both"/>
        <w:rPr>
          <w:b/>
          <w:sz w:val="28"/>
          <w:szCs w:val="28"/>
        </w:rPr>
      </w:pPr>
      <w:proofErr w:type="gramStart"/>
      <w:r w:rsidRPr="007E20F1">
        <w:rPr>
          <w:sz w:val="28"/>
          <w:szCs w:val="28"/>
        </w:rPr>
        <w:t>ja/või</w:t>
      </w:r>
      <w:proofErr w:type="gramEnd"/>
    </w:p>
    <w:p w:rsidR="007E20F1" w:rsidRPr="007E20F1" w:rsidRDefault="007E20F1" w:rsidP="007E20F1">
      <w:pPr>
        <w:jc w:val="both"/>
        <w:rPr>
          <w:b/>
          <w:sz w:val="28"/>
          <w:szCs w:val="28"/>
        </w:rPr>
      </w:pPr>
    </w:p>
    <w:p w:rsidR="007E20F1" w:rsidRPr="007E20F1" w:rsidRDefault="007E20F1" w:rsidP="007E20F1">
      <w:pPr>
        <w:jc w:val="both"/>
        <w:rPr>
          <w:sz w:val="28"/>
          <w:szCs w:val="28"/>
        </w:rPr>
      </w:pPr>
      <w:proofErr w:type="gramStart"/>
      <w:r w:rsidRPr="007E20F1">
        <w:rPr>
          <w:b/>
          <w:sz w:val="28"/>
          <w:szCs w:val="28"/>
        </w:rPr>
        <w:t>ii</w:t>
      </w:r>
      <w:proofErr w:type="gramEnd"/>
      <w:r w:rsidRPr="007E20F1">
        <w:rPr>
          <w:b/>
          <w:sz w:val="28"/>
          <w:szCs w:val="28"/>
        </w:rPr>
        <w:t xml:space="preserve">) </w:t>
      </w:r>
      <w:r w:rsidRPr="007E20F1">
        <w:rPr>
          <w:b/>
          <w:sz w:val="28"/>
          <w:szCs w:val="28"/>
        </w:rPr>
        <w:tab/>
        <w:t xml:space="preserve">vastates küsimustikule, mis on kättesaadav </w:t>
      </w:r>
      <w:r w:rsidRPr="007E20F1">
        <w:rPr>
          <w:b/>
          <w:sz w:val="28"/>
          <w:szCs w:val="28"/>
          <w:u w:val="single"/>
        </w:rPr>
        <w:t>siin</w:t>
      </w:r>
      <w:r w:rsidRPr="007E20F1">
        <w:rPr>
          <w:b/>
          <w:sz w:val="28"/>
          <w:szCs w:val="28"/>
        </w:rPr>
        <w:t>.</w:t>
      </w:r>
    </w:p>
    <w:p w:rsidR="007E20F1" w:rsidRPr="007E20F1" w:rsidRDefault="007E20F1" w:rsidP="007E20F1">
      <w:pPr>
        <w:jc w:val="both"/>
        <w:rPr>
          <w:sz w:val="28"/>
          <w:szCs w:val="28"/>
        </w:rPr>
      </w:pPr>
      <w:r w:rsidRPr="007E20F1">
        <w:rPr>
          <w:sz w:val="28"/>
          <w:szCs w:val="28"/>
        </w:rPr>
        <w:t>Oleksime väga tänulikud, kui saadaksite oma vastuse 2021. </w:t>
      </w:r>
      <w:proofErr w:type="gramStart"/>
      <w:r w:rsidRPr="007E20F1">
        <w:rPr>
          <w:sz w:val="28"/>
          <w:szCs w:val="28"/>
        </w:rPr>
        <w:t>aasta</w:t>
      </w:r>
      <w:proofErr w:type="gramEnd"/>
      <w:r w:rsidRPr="007E20F1">
        <w:rPr>
          <w:sz w:val="28"/>
          <w:szCs w:val="28"/>
        </w:rPr>
        <w:t xml:space="preserve"> aprilli lõpuks. </w:t>
      </w:r>
    </w:p>
    <w:p w:rsidR="007E20F1" w:rsidRPr="007E20F1" w:rsidRDefault="007E20F1" w:rsidP="007E20F1">
      <w:pPr>
        <w:jc w:val="both"/>
        <w:rPr>
          <w:b/>
          <w:sz w:val="28"/>
          <w:szCs w:val="28"/>
        </w:rPr>
      </w:pPr>
    </w:p>
    <w:p w:rsidR="007E20F1" w:rsidRPr="007E20F1" w:rsidRDefault="007E20F1" w:rsidP="007E20F1">
      <w:pPr>
        <w:jc w:val="both"/>
        <w:rPr>
          <w:rStyle w:val="Hyperlink"/>
          <w:b/>
          <w:sz w:val="28"/>
          <w:szCs w:val="28"/>
        </w:rPr>
      </w:pPr>
      <w:r w:rsidRPr="007E20F1">
        <w:rPr>
          <w:b/>
          <w:sz w:val="28"/>
          <w:szCs w:val="28"/>
        </w:rPr>
        <w:t xml:space="preserve">Küsimuste korral kirjutage meile aadressil </w:t>
      </w:r>
      <w:hyperlink r:id="rId9" w:history="1">
        <w:r w:rsidRPr="007E20F1">
          <w:rPr>
            <w:rStyle w:val="Hyperlink"/>
            <w:b/>
            <w:sz w:val="28"/>
            <w:szCs w:val="28"/>
          </w:rPr>
          <w:t>PES-Group@cor.europa.eu</w:t>
        </w:r>
      </w:hyperlink>
      <w:r w:rsidRPr="007E20F1">
        <w:rPr>
          <w:sz w:val="28"/>
          <w:szCs w:val="28"/>
        </w:rPr>
        <w:t>.</w:t>
      </w:r>
    </w:p>
    <w:p w:rsidR="0062605C" w:rsidRPr="007E20F1" w:rsidRDefault="0062605C" w:rsidP="0062605C">
      <w:pPr>
        <w:jc w:val="both"/>
        <w:rPr>
          <w:rStyle w:val="Hyperlink"/>
          <w:b/>
          <w:sz w:val="28"/>
          <w:szCs w:val="28"/>
        </w:rPr>
      </w:pPr>
    </w:p>
    <w:p w:rsidR="00E11EA9" w:rsidRPr="007E20F1" w:rsidRDefault="00E11EA9" w:rsidP="0062605C">
      <w:pPr>
        <w:rPr>
          <w:sz w:val="28"/>
          <w:szCs w:val="28"/>
        </w:rPr>
      </w:pPr>
    </w:p>
    <w:p w:rsidR="007E20F1" w:rsidRPr="007E20F1" w:rsidRDefault="007E20F1" w:rsidP="007E20F1">
      <w:pPr>
        <w:rPr>
          <w:b/>
          <w:bCs/>
          <w:color w:val="FF0000"/>
          <w:sz w:val="28"/>
          <w:szCs w:val="28"/>
        </w:rPr>
      </w:pPr>
      <w:r w:rsidRPr="007E20F1">
        <w:rPr>
          <w:b/>
          <w:bCs/>
          <w:color w:val="FF0000"/>
          <w:sz w:val="28"/>
          <w:szCs w:val="28"/>
        </w:rPr>
        <w:t>KÜSIMUSTIK</w:t>
      </w:r>
    </w:p>
    <w:p w:rsidR="007E20F1" w:rsidRPr="007E20F1" w:rsidRDefault="007E20F1" w:rsidP="007E20F1">
      <w:pPr>
        <w:rPr>
          <w:sz w:val="28"/>
          <w:szCs w:val="28"/>
        </w:rPr>
      </w:pP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Nimi:</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Linn, piirkond, kohalik omavalitsus, keda Te esindate:</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Riik:</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 xml:space="preserve">Roll või poliitiline funktsioon: </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 xml:space="preserve">Esindatud linna/piirkonna/kohaliku omavalitsuse suurus (elanikkond): </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 xml:space="preserve">Märkige palun ebasoodsas olukorras olevate leibkondade osakaal (protsendimäär) Teie omavalitsuse territooriumil ja nende hulgas asjaomaste laste osakaal: </w:t>
      </w:r>
    </w:p>
    <w:p w:rsidR="007E20F1" w:rsidRPr="007E20F1" w:rsidRDefault="007E20F1" w:rsidP="007E20F1">
      <w:pPr>
        <w:ind w:firstLine="360"/>
        <w:rPr>
          <w:i/>
          <w:iCs/>
          <w:sz w:val="28"/>
          <w:szCs w:val="28"/>
        </w:rPr>
      </w:pPr>
      <w:r w:rsidRPr="007E20F1">
        <w:rPr>
          <w:i/>
          <w:iCs/>
          <w:sz w:val="28"/>
          <w:szCs w:val="28"/>
        </w:rPr>
        <w:t xml:space="preserve">(Ebasoodne olukord: </w:t>
      </w:r>
      <w:proofErr w:type="gramStart"/>
      <w:r w:rsidRPr="007E20F1">
        <w:rPr>
          <w:i/>
          <w:iCs/>
          <w:sz w:val="28"/>
          <w:szCs w:val="28"/>
        </w:rPr>
        <w:t>nt</w:t>
      </w:r>
      <w:proofErr w:type="gramEnd"/>
      <w:r w:rsidRPr="007E20F1">
        <w:rPr>
          <w:i/>
          <w:iCs/>
          <w:sz w:val="28"/>
          <w:szCs w:val="28"/>
        </w:rPr>
        <w:t xml:space="preserve"> madalam sissetulek/töötus, vastavalt riiklikele näitajatele)</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Märkige palun mitmekesisuse määr protsentides Teie territooriumil:</w:t>
      </w:r>
    </w:p>
    <w:p w:rsidR="007E20F1" w:rsidRPr="007E20F1" w:rsidRDefault="007E20F1" w:rsidP="007E20F1">
      <w:pPr>
        <w:pStyle w:val="ListParagraph"/>
        <w:ind w:left="360"/>
        <w:rPr>
          <w:i/>
          <w:iCs/>
          <w:sz w:val="28"/>
          <w:szCs w:val="28"/>
        </w:rPr>
      </w:pPr>
      <w:r w:rsidRPr="007E20F1">
        <w:rPr>
          <w:i/>
          <w:iCs/>
          <w:sz w:val="28"/>
          <w:szCs w:val="28"/>
        </w:rPr>
        <w:t>(</w:t>
      </w:r>
      <w:proofErr w:type="gramStart"/>
      <w:r w:rsidRPr="007E20F1">
        <w:rPr>
          <w:i/>
          <w:iCs/>
          <w:sz w:val="28"/>
          <w:szCs w:val="28"/>
        </w:rPr>
        <w:t>sisserändajataustaga</w:t>
      </w:r>
      <w:proofErr w:type="gramEnd"/>
      <w:r w:rsidRPr="007E20F1">
        <w:rPr>
          <w:i/>
          <w:iCs/>
          <w:sz w:val="28"/>
          <w:szCs w:val="28"/>
        </w:rPr>
        <w:t xml:space="preserve"> leibkonnad)</w:t>
      </w:r>
    </w:p>
    <w:p w:rsidR="007E20F1" w:rsidRPr="007E20F1" w:rsidRDefault="007E20F1" w:rsidP="007E20F1">
      <w:pPr>
        <w:pStyle w:val="ListParagraph"/>
        <w:ind w:left="360"/>
        <w:rPr>
          <w:b/>
          <w:bCs/>
          <w:sz w:val="28"/>
          <w:szCs w:val="28"/>
        </w:rPr>
      </w:pPr>
    </w:p>
    <w:p w:rsidR="007E20F1" w:rsidRPr="007E20F1" w:rsidRDefault="007E20F1" w:rsidP="007E20F1">
      <w:pPr>
        <w:rPr>
          <w:b/>
          <w:bCs/>
          <w:sz w:val="28"/>
          <w:szCs w:val="28"/>
        </w:rPr>
      </w:pPr>
      <w:r w:rsidRPr="007E20F1">
        <w:rPr>
          <w:b/>
          <w:bCs/>
          <w:sz w:val="28"/>
          <w:szCs w:val="28"/>
        </w:rPr>
        <w:t>Üldised meetmed lapsevanemate/eestkostjate vaesuse vastu võitlemiseks kui vahend võitlemiseks laste vaesuse vastu</w:t>
      </w:r>
    </w:p>
    <w:p w:rsidR="007E20F1" w:rsidRPr="007E20F1" w:rsidRDefault="007E20F1" w:rsidP="007E20F1">
      <w:pPr>
        <w:pStyle w:val="ListParagraph"/>
        <w:numPr>
          <w:ilvl w:val="0"/>
          <w:numId w:val="15"/>
        </w:numPr>
        <w:spacing w:line="240" w:lineRule="auto"/>
        <w:ind w:left="426" w:hanging="426"/>
        <w:rPr>
          <w:sz w:val="28"/>
          <w:szCs w:val="28"/>
        </w:rPr>
      </w:pPr>
      <w:r w:rsidRPr="007E20F1">
        <w:rPr>
          <w:sz w:val="28"/>
          <w:szCs w:val="28"/>
        </w:rPr>
        <w:t>Märkige palun üldised meetmed, mida Teie omavalitsuses kohaldatakse ebasoodsas olukorras olevate leibkondade toetamiseks (</w:t>
      </w:r>
      <w:proofErr w:type="gramStart"/>
      <w:r w:rsidRPr="007E20F1">
        <w:rPr>
          <w:sz w:val="28"/>
          <w:szCs w:val="28"/>
        </w:rPr>
        <w:t>nt</w:t>
      </w:r>
      <w:proofErr w:type="gramEnd"/>
      <w:r w:rsidRPr="007E20F1">
        <w:rPr>
          <w:sz w:val="28"/>
          <w:szCs w:val="28"/>
        </w:rPr>
        <w:t xml:space="preserve"> sissetulekutoetus, eluase, juurdepääs tervishoiule jne).</w:t>
      </w:r>
    </w:p>
    <w:p w:rsidR="007E20F1" w:rsidRPr="007E20F1" w:rsidRDefault="007E20F1" w:rsidP="007E20F1">
      <w:pPr>
        <w:pStyle w:val="ListParagraph"/>
        <w:numPr>
          <w:ilvl w:val="0"/>
          <w:numId w:val="15"/>
        </w:numPr>
        <w:spacing w:line="240" w:lineRule="auto"/>
        <w:ind w:left="426" w:hanging="426"/>
        <w:rPr>
          <w:sz w:val="28"/>
          <w:szCs w:val="28"/>
        </w:rPr>
      </w:pPr>
      <w:r w:rsidRPr="007E20F1">
        <w:rPr>
          <w:sz w:val="28"/>
          <w:szCs w:val="28"/>
        </w:rPr>
        <w:t xml:space="preserve">Märkige, kas ebasoodsas olukorras olevate </w:t>
      </w:r>
      <w:proofErr w:type="gramStart"/>
      <w:r w:rsidRPr="007E20F1">
        <w:rPr>
          <w:sz w:val="28"/>
          <w:szCs w:val="28"/>
        </w:rPr>
        <w:t>ja</w:t>
      </w:r>
      <w:proofErr w:type="gramEnd"/>
      <w:r w:rsidRPr="007E20F1">
        <w:rPr>
          <w:sz w:val="28"/>
          <w:szCs w:val="28"/>
        </w:rPr>
        <w:t xml:space="preserve"> lapsi hõlmavate leibkondade suhtes kohaldatakse erimeetmeid.</w:t>
      </w:r>
    </w:p>
    <w:p w:rsidR="007E20F1" w:rsidRPr="007E20F1" w:rsidRDefault="007E20F1" w:rsidP="007E20F1">
      <w:pPr>
        <w:rPr>
          <w:b/>
          <w:bCs/>
          <w:sz w:val="28"/>
          <w:szCs w:val="28"/>
        </w:rPr>
      </w:pPr>
    </w:p>
    <w:p w:rsidR="007E20F1" w:rsidRPr="007E20F1" w:rsidRDefault="007E20F1" w:rsidP="007E20F1">
      <w:pPr>
        <w:rPr>
          <w:b/>
          <w:bCs/>
          <w:sz w:val="28"/>
          <w:szCs w:val="28"/>
        </w:rPr>
      </w:pPr>
      <w:r w:rsidRPr="007E20F1">
        <w:rPr>
          <w:b/>
          <w:bCs/>
          <w:sz w:val="28"/>
          <w:szCs w:val="28"/>
        </w:rPr>
        <w:t xml:space="preserve">Alusharidus </w:t>
      </w:r>
      <w:proofErr w:type="gramStart"/>
      <w:r w:rsidRPr="007E20F1">
        <w:rPr>
          <w:b/>
          <w:bCs/>
          <w:sz w:val="28"/>
          <w:szCs w:val="28"/>
        </w:rPr>
        <w:t>ja</w:t>
      </w:r>
      <w:proofErr w:type="gramEnd"/>
      <w:r w:rsidRPr="007E20F1">
        <w:rPr>
          <w:b/>
          <w:bCs/>
          <w:sz w:val="28"/>
          <w:szCs w:val="28"/>
        </w:rPr>
        <w:t xml:space="preserve"> lapsehoid</w:t>
      </w:r>
    </w:p>
    <w:p w:rsidR="007E20F1" w:rsidRPr="007E20F1" w:rsidRDefault="007E20F1" w:rsidP="007E20F1">
      <w:pPr>
        <w:rPr>
          <w:b/>
          <w:bCs/>
          <w:sz w:val="28"/>
          <w:szCs w:val="28"/>
        </w:rPr>
      </w:pPr>
    </w:p>
    <w:p w:rsidR="007E20F1" w:rsidRPr="007E20F1" w:rsidRDefault="007E20F1" w:rsidP="007E20F1">
      <w:pPr>
        <w:pStyle w:val="ListParagraph"/>
        <w:numPr>
          <w:ilvl w:val="0"/>
          <w:numId w:val="15"/>
        </w:numPr>
        <w:spacing w:line="240" w:lineRule="auto"/>
        <w:ind w:left="426" w:hanging="426"/>
        <w:rPr>
          <w:i/>
          <w:iCs/>
          <w:sz w:val="28"/>
          <w:szCs w:val="28"/>
        </w:rPr>
      </w:pPr>
      <w:r w:rsidRPr="007E20F1">
        <w:rPr>
          <w:sz w:val="28"/>
          <w:szCs w:val="28"/>
        </w:rPr>
        <w:t xml:space="preserve">Alla 3-aastaste laste osakaal alushariduse ja lapsehoiu programmides (nt sõimed, lasteaiad jne): </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Registreeritud laste osakaal (</w:t>
      </w:r>
      <w:proofErr w:type="gramStart"/>
      <w:r w:rsidRPr="007E20F1">
        <w:rPr>
          <w:sz w:val="28"/>
          <w:szCs w:val="28"/>
        </w:rPr>
        <w:t>%</w:t>
      </w:r>
      <w:proofErr w:type="gramEnd"/>
      <w:r w:rsidRPr="007E20F1">
        <w:rPr>
          <w:sz w:val="28"/>
          <w:szCs w:val="28"/>
        </w:rPr>
        <w:t xml:space="preserve">) </w:t>
      </w:r>
    </w:p>
    <w:p w:rsidR="007E20F1" w:rsidRPr="007E20F1" w:rsidRDefault="007E20F1" w:rsidP="007E20F1">
      <w:pPr>
        <w:pStyle w:val="ListParagraph"/>
        <w:numPr>
          <w:ilvl w:val="0"/>
          <w:numId w:val="16"/>
        </w:numPr>
        <w:spacing w:line="240" w:lineRule="auto"/>
        <w:rPr>
          <w:sz w:val="28"/>
          <w:szCs w:val="28"/>
        </w:rPr>
      </w:pPr>
      <w:r w:rsidRPr="007E20F1">
        <w:rPr>
          <w:sz w:val="28"/>
          <w:szCs w:val="28"/>
        </w:rPr>
        <w:t xml:space="preserve">avalike teenuste raames (mida haldavad otseselt kohalikud omavalitsused või mida haldab avaliku sektori poolt toetatud MTÜ): </w:t>
      </w:r>
    </w:p>
    <w:p w:rsidR="007E20F1" w:rsidRPr="007E20F1" w:rsidRDefault="007E20F1" w:rsidP="007E20F1">
      <w:pPr>
        <w:pStyle w:val="ListParagraph"/>
        <w:numPr>
          <w:ilvl w:val="0"/>
          <w:numId w:val="16"/>
        </w:numPr>
        <w:spacing w:line="240" w:lineRule="auto"/>
        <w:rPr>
          <w:sz w:val="28"/>
          <w:szCs w:val="28"/>
        </w:rPr>
      </w:pPr>
      <w:r w:rsidRPr="007E20F1">
        <w:rPr>
          <w:sz w:val="28"/>
          <w:szCs w:val="28"/>
        </w:rPr>
        <w:t>erateenuste raames (institutsiooni poolt kasumi saamiseks vabalt otsustatud tariifid, avaliku sektori panus puudub)</w:t>
      </w:r>
    </w:p>
    <w:p w:rsidR="007E20F1" w:rsidRPr="007E20F1" w:rsidRDefault="007E20F1" w:rsidP="007E20F1">
      <w:pPr>
        <w:pStyle w:val="ListParagraph"/>
        <w:numPr>
          <w:ilvl w:val="0"/>
          <w:numId w:val="16"/>
        </w:numPr>
        <w:spacing w:line="240" w:lineRule="auto"/>
        <w:rPr>
          <w:sz w:val="28"/>
          <w:szCs w:val="28"/>
        </w:rPr>
      </w:pPr>
      <w:r w:rsidRPr="007E20F1">
        <w:rPr>
          <w:sz w:val="28"/>
          <w:szCs w:val="28"/>
        </w:rPr>
        <w:t xml:space="preserve">kombineeritud teenuste raames (eraõiguslikud kasumitaotlusega asutused, keda avalik sektor toetab rahaliselt otseselt või kaudselt , nt perekondadele antavate vautšerite kaudu) </w:t>
      </w:r>
    </w:p>
    <w:p w:rsidR="007E20F1" w:rsidRPr="007E20F1" w:rsidRDefault="007E20F1" w:rsidP="007E20F1">
      <w:pPr>
        <w:pStyle w:val="ListParagraph"/>
        <w:numPr>
          <w:ilvl w:val="0"/>
          <w:numId w:val="15"/>
        </w:numPr>
        <w:spacing w:line="240" w:lineRule="auto"/>
        <w:ind w:left="284" w:hanging="284"/>
        <w:rPr>
          <w:rFonts w:eastAsia="Times New Roman"/>
          <w:sz w:val="28"/>
          <w:szCs w:val="28"/>
        </w:rPr>
      </w:pPr>
      <w:r w:rsidRPr="007E20F1">
        <w:rPr>
          <w:sz w:val="28"/>
          <w:szCs w:val="28"/>
        </w:rPr>
        <w:lastRenderedPageBreak/>
        <w:t xml:space="preserve">Kuidas Te tagate alla 3-aastastele lastele võrdse juurdepääsu alusharidusele </w:t>
      </w:r>
      <w:proofErr w:type="gramStart"/>
      <w:r w:rsidRPr="007E20F1">
        <w:rPr>
          <w:sz w:val="28"/>
          <w:szCs w:val="28"/>
        </w:rPr>
        <w:t>ja</w:t>
      </w:r>
      <w:proofErr w:type="gramEnd"/>
      <w:r w:rsidRPr="007E20F1">
        <w:rPr>
          <w:sz w:val="28"/>
          <w:szCs w:val="28"/>
        </w:rPr>
        <w:t xml:space="preserve"> lapsehoiule (mitu valikut)? </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Astmelised tasud (vanemad maksavad vastavalt oma sissetulekule)</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Ebasoodsas olukorras olevatesse piirkondadesse (kus elavad ebasoodsas olukorras olevad leibkonnad) ehitatud rajatised/teenused</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Tasuta teenused (ebasoodsas olukorras leibkondadele või kõigile peredele üheks või mitmeks aastaks)</w:t>
      </w:r>
      <w:r w:rsidRPr="007E20F1">
        <w:rPr>
          <w:i/>
          <w:iCs/>
          <w:sz w:val="28"/>
          <w:szCs w:val="28"/>
        </w:rPr>
        <w:t xml:space="preserve"> </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Ebasoodsas olukorras olevate laste (nt üksikemade, töötute vanemate või tööd otsivate vanemate laste) juurdepääs eelisjärjekorras</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Ebasoodsas olukorras olevate lapsevanemate teadlikkuse suurendamine alushariduse ja lapsehoiu tähtsusest</w:t>
      </w:r>
    </w:p>
    <w:p w:rsidR="007E20F1" w:rsidRPr="007E20F1" w:rsidRDefault="007E20F1" w:rsidP="007E20F1">
      <w:pPr>
        <w:numPr>
          <w:ilvl w:val="1"/>
          <w:numId w:val="14"/>
        </w:numPr>
        <w:spacing w:line="240" w:lineRule="auto"/>
        <w:ind w:left="1080"/>
        <w:rPr>
          <w:rFonts w:eastAsia="Times New Roman"/>
          <w:sz w:val="28"/>
          <w:szCs w:val="28"/>
        </w:rPr>
      </w:pPr>
      <w:r w:rsidRPr="007E20F1">
        <w:rPr>
          <w:sz w:val="28"/>
          <w:szCs w:val="28"/>
        </w:rPr>
        <w:t>Muu (kirjeldage)</w:t>
      </w:r>
    </w:p>
    <w:p w:rsidR="007E20F1" w:rsidRPr="007E20F1" w:rsidRDefault="007E20F1" w:rsidP="007E20F1">
      <w:pPr>
        <w:pStyle w:val="ListParagraph"/>
        <w:numPr>
          <w:ilvl w:val="0"/>
          <w:numId w:val="15"/>
        </w:numPr>
        <w:spacing w:line="240" w:lineRule="auto"/>
        <w:ind w:left="360"/>
        <w:rPr>
          <w:sz w:val="28"/>
          <w:szCs w:val="28"/>
        </w:rPr>
      </w:pPr>
      <w:r w:rsidRPr="007E20F1">
        <w:rPr>
          <w:sz w:val="28"/>
          <w:szCs w:val="28"/>
        </w:rPr>
        <w:t xml:space="preserve">Mis on peamine probleem, millega Te silmitsi seisate, et tagada võrdne juurdepääs alla 3-aastastele väikelastele (mitu </w:t>
      </w:r>
      <w:proofErr w:type="gramStart"/>
      <w:r w:rsidRPr="007E20F1">
        <w:rPr>
          <w:sz w:val="28"/>
          <w:szCs w:val="28"/>
        </w:rPr>
        <w:t>valikut )</w:t>
      </w:r>
      <w:proofErr w:type="gramEnd"/>
      <w:r w:rsidRPr="007E20F1">
        <w:rPr>
          <w:sz w:val="28"/>
          <w:szCs w:val="28"/>
        </w:rPr>
        <w:t>?</w:t>
      </w:r>
    </w:p>
    <w:p w:rsidR="007E20F1" w:rsidRPr="007E20F1" w:rsidRDefault="007E20F1" w:rsidP="007E20F1">
      <w:pPr>
        <w:pStyle w:val="ListParagraph"/>
        <w:numPr>
          <w:ilvl w:val="1"/>
          <w:numId w:val="15"/>
        </w:numPr>
        <w:spacing w:line="240" w:lineRule="auto"/>
        <w:ind w:left="1134" w:hanging="425"/>
        <w:rPr>
          <w:rFonts w:eastAsia="Times New Roman"/>
          <w:sz w:val="28"/>
          <w:szCs w:val="28"/>
        </w:rPr>
      </w:pPr>
      <w:r w:rsidRPr="007E20F1">
        <w:rPr>
          <w:sz w:val="28"/>
          <w:szCs w:val="28"/>
        </w:rPr>
        <w:t>Piisava rahastamise puudulikkus (omavahenditest rahastamise puudumine ja keskvalitsuse piiratud eraldised, struktuuride loomise ja/või perekondade rahalise panuse vähendamise takistused)</w:t>
      </w:r>
    </w:p>
    <w:p w:rsidR="007E20F1" w:rsidRPr="007E20F1" w:rsidRDefault="007E20F1" w:rsidP="007E20F1">
      <w:pPr>
        <w:numPr>
          <w:ilvl w:val="1"/>
          <w:numId w:val="15"/>
        </w:numPr>
        <w:spacing w:line="240" w:lineRule="auto"/>
        <w:ind w:left="1134" w:hanging="425"/>
        <w:rPr>
          <w:rFonts w:eastAsia="Times New Roman"/>
          <w:sz w:val="28"/>
          <w:szCs w:val="28"/>
        </w:rPr>
      </w:pPr>
      <w:r w:rsidRPr="007E20F1">
        <w:rPr>
          <w:sz w:val="28"/>
          <w:szCs w:val="28"/>
        </w:rPr>
        <w:t xml:space="preserve">Ebasoodsas olukorras olevaid perekondi heidutavad juurdepääsukriteeriumid (nt ainult töötavatele vanematele reserveeritud kohad, keelebarjäärid sisserändaja taustaga vanematele, asukoht jne ) </w:t>
      </w:r>
    </w:p>
    <w:p w:rsidR="007E20F1" w:rsidRPr="007E20F1" w:rsidRDefault="007E20F1" w:rsidP="007E20F1">
      <w:pPr>
        <w:numPr>
          <w:ilvl w:val="1"/>
          <w:numId w:val="15"/>
        </w:numPr>
        <w:spacing w:line="240" w:lineRule="auto"/>
        <w:ind w:left="1134" w:hanging="425"/>
        <w:rPr>
          <w:rFonts w:eastAsia="Times New Roman"/>
          <w:sz w:val="28"/>
          <w:szCs w:val="28"/>
        </w:rPr>
      </w:pPr>
      <w:r w:rsidRPr="007E20F1">
        <w:rPr>
          <w:sz w:val="28"/>
          <w:szCs w:val="28"/>
        </w:rPr>
        <w:t>Ebasoodsas olukorras olevate lapsevanemate puudulik teadlikkus alushariduse ja lapsehoiu tähtsusest</w:t>
      </w:r>
    </w:p>
    <w:p w:rsidR="007E20F1" w:rsidRPr="007E20F1" w:rsidRDefault="007E20F1" w:rsidP="007E20F1">
      <w:pPr>
        <w:numPr>
          <w:ilvl w:val="1"/>
          <w:numId w:val="15"/>
        </w:numPr>
        <w:spacing w:line="240" w:lineRule="auto"/>
        <w:ind w:left="1134" w:hanging="425"/>
        <w:rPr>
          <w:rFonts w:eastAsia="Times New Roman"/>
          <w:sz w:val="28"/>
          <w:szCs w:val="28"/>
        </w:rPr>
      </w:pPr>
      <w:r w:rsidRPr="007E20F1">
        <w:rPr>
          <w:sz w:val="28"/>
          <w:szCs w:val="28"/>
        </w:rPr>
        <w:t>Muu (kirjeldage)</w:t>
      </w:r>
    </w:p>
    <w:p w:rsidR="007E20F1" w:rsidRPr="007E20F1" w:rsidRDefault="007E20F1" w:rsidP="007E20F1">
      <w:pPr>
        <w:rPr>
          <w:rFonts w:eastAsia="Times New Roman"/>
          <w:sz w:val="28"/>
          <w:szCs w:val="28"/>
        </w:rPr>
      </w:pPr>
    </w:p>
    <w:p w:rsidR="007E20F1" w:rsidRPr="007E20F1" w:rsidRDefault="007E20F1" w:rsidP="007E20F1">
      <w:pPr>
        <w:keepNext/>
        <w:rPr>
          <w:rFonts w:eastAsia="Times New Roman"/>
          <w:b/>
          <w:bCs/>
          <w:sz w:val="28"/>
          <w:szCs w:val="28"/>
        </w:rPr>
      </w:pPr>
      <w:r w:rsidRPr="007E20F1">
        <w:rPr>
          <w:b/>
          <w:bCs/>
          <w:sz w:val="28"/>
          <w:szCs w:val="28"/>
        </w:rPr>
        <w:t xml:space="preserve">COVID-19 kriisi mõju </w:t>
      </w:r>
    </w:p>
    <w:p w:rsidR="007E20F1" w:rsidRPr="007E20F1" w:rsidRDefault="007E20F1" w:rsidP="007E20F1">
      <w:pPr>
        <w:keepNext/>
        <w:rPr>
          <w:rFonts w:eastAsia="Times New Roman"/>
          <w:sz w:val="28"/>
          <w:szCs w:val="28"/>
        </w:rPr>
      </w:pPr>
    </w:p>
    <w:p w:rsidR="007E20F1" w:rsidRPr="007E20F1" w:rsidRDefault="007E20F1" w:rsidP="007E20F1">
      <w:pPr>
        <w:pStyle w:val="ListParagraph"/>
        <w:keepNext/>
        <w:numPr>
          <w:ilvl w:val="0"/>
          <w:numId w:val="15"/>
        </w:numPr>
        <w:spacing w:line="240" w:lineRule="auto"/>
        <w:ind w:left="426" w:hanging="426"/>
        <w:rPr>
          <w:rFonts w:eastAsia="Times New Roman"/>
          <w:sz w:val="28"/>
          <w:szCs w:val="28"/>
        </w:rPr>
      </w:pPr>
      <w:r w:rsidRPr="007E20F1">
        <w:rPr>
          <w:sz w:val="28"/>
          <w:szCs w:val="28"/>
        </w:rPr>
        <w:t xml:space="preserve">Kuidas mõjutab COVID-19 kriis Teie omavalitsuses suutlikkust pakkuda alusharidust </w:t>
      </w:r>
      <w:proofErr w:type="gramStart"/>
      <w:r w:rsidRPr="007E20F1">
        <w:rPr>
          <w:sz w:val="28"/>
          <w:szCs w:val="28"/>
        </w:rPr>
        <w:t>ja</w:t>
      </w:r>
      <w:proofErr w:type="gramEnd"/>
      <w:r w:rsidRPr="007E20F1">
        <w:rPr>
          <w:sz w:val="28"/>
          <w:szCs w:val="28"/>
        </w:rPr>
        <w:t xml:space="preserve"> lapsehoidu alla 3-aastastele lastele (mitu valikut)? </w:t>
      </w:r>
    </w:p>
    <w:p w:rsidR="007E20F1" w:rsidRPr="007E20F1" w:rsidRDefault="007E20F1" w:rsidP="007E20F1">
      <w:pPr>
        <w:numPr>
          <w:ilvl w:val="0"/>
          <w:numId w:val="17"/>
        </w:numPr>
        <w:spacing w:line="240" w:lineRule="auto"/>
        <w:rPr>
          <w:rFonts w:eastAsia="Times New Roman"/>
          <w:sz w:val="28"/>
          <w:szCs w:val="28"/>
        </w:rPr>
      </w:pPr>
      <w:r w:rsidRPr="007E20F1">
        <w:rPr>
          <w:sz w:val="28"/>
          <w:szCs w:val="28"/>
        </w:rPr>
        <w:t>Keskvalitsuse ja omavahendite vahendite (kohalikud maksud) vähendamine/peatamine, teenuste ja kohtade vähendamine</w:t>
      </w:r>
    </w:p>
    <w:p w:rsidR="007E20F1" w:rsidRPr="007E20F1" w:rsidRDefault="007E20F1" w:rsidP="007E20F1">
      <w:pPr>
        <w:numPr>
          <w:ilvl w:val="0"/>
          <w:numId w:val="17"/>
        </w:numPr>
        <w:spacing w:line="240" w:lineRule="auto"/>
        <w:rPr>
          <w:rFonts w:eastAsia="Times New Roman"/>
          <w:sz w:val="28"/>
          <w:szCs w:val="28"/>
        </w:rPr>
      </w:pPr>
      <w:r w:rsidRPr="007E20F1">
        <w:rPr>
          <w:sz w:val="28"/>
          <w:szCs w:val="28"/>
        </w:rPr>
        <w:t>Nõudluse vähenemine kodumajapidamiste rahaliste raskuste ja töötuse üldise suurenemise tõttu</w:t>
      </w:r>
    </w:p>
    <w:p w:rsidR="007E20F1" w:rsidRPr="007E20F1" w:rsidRDefault="007E20F1" w:rsidP="007E20F1">
      <w:pPr>
        <w:pStyle w:val="ListParagraph"/>
        <w:numPr>
          <w:ilvl w:val="0"/>
          <w:numId w:val="17"/>
        </w:numPr>
        <w:spacing w:line="240" w:lineRule="auto"/>
        <w:rPr>
          <w:rFonts w:eastAsia="Times New Roman"/>
          <w:sz w:val="28"/>
          <w:szCs w:val="28"/>
        </w:rPr>
      </w:pPr>
      <w:r w:rsidRPr="007E20F1">
        <w:rPr>
          <w:sz w:val="28"/>
          <w:szCs w:val="28"/>
        </w:rPr>
        <w:t>Muu (kirjeldage)</w:t>
      </w:r>
    </w:p>
    <w:p w:rsidR="007E20F1" w:rsidRPr="007E20F1" w:rsidRDefault="007E20F1" w:rsidP="007E20F1">
      <w:pPr>
        <w:pStyle w:val="ListParagraph"/>
        <w:numPr>
          <w:ilvl w:val="0"/>
          <w:numId w:val="15"/>
        </w:numPr>
        <w:spacing w:line="240" w:lineRule="auto"/>
        <w:ind w:left="426" w:hanging="426"/>
        <w:rPr>
          <w:rFonts w:eastAsia="Times New Roman"/>
          <w:sz w:val="28"/>
          <w:szCs w:val="28"/>
        </w:rPr>
      </w:pPr>
      <w:r w:rsidRPr="007E20F1">
        <w:rPr>
          <w:sz w:val="28"/>
          <w:szCs w:val="28"/>
        </w:rPr>
        <w:t xml:space="preserve">Milliseid lahendusi kavatsete majanduse taastamise raames pakkuda alla 3-aastaste laste alushariduse </w:t>
      </w:r>
      <w:proofErr w:type="gramStart"/>
      <w:r w:rsidRPr="007E20F1">
        <w:rPr>
          <w:sz w:val="28"/>
          <w:szCs w:val="28"/>
        </w:rPr>
        <w:t>ja</w:t>
      </w:r>
      <w:proofErr w:type="gramEnd"/>
      <w:r w:rsidRPr="007E20F1">
        <w:rPr>
          <w:sz w:val="28"/>
          <w:szCs w:val="28"/>
        </w:rPr>
        <w:t xml:space="preserve"> lapsehoiuteenuste säilitamiseks/laiendamiseks?</w:t>
      </w:r>
    </w:p>
    <w:p w:rsidR="007E20F1" w:rsidRPr="007E20F1" w:rsidRDefault="007E20F1" w:rsidP="007E20F1">
      <w:pPr>
        <w:pStyle w:val="ListParagraph"/>
        <w:ind w:left="426"/>
        <w:rPr>
          <w:rFonts w:eastAsia="Times New Roman"/>
          <w:sz w:val="28"/>
          <w:szCs w:val="28"/>
        </w:rPr>
      </w:pPr>
      <w:r w:rsidRPr="007E20F1">
        <w:rPr>
          <w:sz w:val="28"/>
          <w:szCs w:val="28"/>
        </w:rPr>
        <w:t>(Kirjeldage)</w:t>
      </w:r>
    </w:p>
    <w:p w:rsidR="007E20F1" w:rsidRPr="007E20F1" w:rsidRDefault="007E20F1" w:rsidP="007E20F1">
      <w:pPr>
        <w:rPr>
          <w:rFonts w:eastAsia="Times New Roman"/>
          <w:b/>
          <w:bCs/>
          <w:sz w:val="28"/>
          <w:szCs w:val="28"/>
        </w:rPr>
      </w:pPr>
      <w:bookmarkStart w:id="0" w:name="_GoBack"/>
      <w:bookmarkEnd w:id="0"/>
      <w:r w:rsidRPr="007E20F1">
        <w:rPr>
          <w:b/>
          <w:bCs/>
          <w:sz w:val="28"/>
          <w:szCs w:val="28"/>
        </w:rPr>
        <w:lastRenderedPageBreak/>
        <w:t>Uuenduslikud tavad</w:t>
      </w:r>
    </w:p>
    <w:p w:rsidR="007E20F1" w:rsidRPr="007E20F1" w:rsidRDefault="007E20F1" w:rsidP="007E20F1">
      <w:pPr>
        <w:rPr>
          <w:rFonts w:eastAsia="Times New Roman"/>
          <w:b/>
          <w:bCs/>
          <w:sz w:val="28"/>
          <w:szCs w:val="28"/>
        </w:rPr>
      </w:pPr>
    </w:p>
    <w:p w:rsidR="007E20F1" w:rsidRPr="007E20F1" w:rsidRDefault="007E20F1" w:rsidP="007E20F1">
      <w:pPr>
        <w:numPr>
          <w:ilvl w:val="0"/>
          <w:numId w:val="15"/>
        </w:numPr>
        <w:spacing w:line="240" w:lineRule="auto"/>
        <w:ind w:left="426" w:hanging="426"/>
        <w:rPr>
          <w:rFonts w:eastAsia="Times New Roman"/>
          <w:sz w:val="28"/>
          <w:szCs w:val="28"/>
        </w:rPr>
      </w:pPr>
      <w:r w:rsidRPr="007E20F1">
        <w:rPr>
          <w:sz w:val="28"/>
          <w:szCs w:val="28"/>
        </w:rPr>
        <w:t xml:space="preserve">Kas olete välja töötanud konkreetseid uuenduslikke tavasid, et: </w:t>
      </w:r>
    </w:p>
    <w:p w:rsidR="007E20F1" w:rsidRPr="007E20F1" w:rsidRDefault="007E20F1" w:rsidP="007E20F1">
      <w:pPr>
        <w:numPr>
          <w:ilvl w:val="0"/>
          <w:numId w:val="18"/>
        </w:numPr>
        <w:spacing w:line="240" w:lineRule="auto"/>
        <w:ind w:left="851" w:hanging="284"/>
        <w:rPr>
          <w:rFonts w:eastAsia="Times New Roman"/>
          <w:sz w:val="28"/>
          <w:szCs w:val="28"/>
        </w:rPr>
      </w:pPr>
      <w:r w:rsidRPr="007E20F1">
        <w:rPr>
          <w:sz w:val="28"/>
          <w:szCs w:val="28"/>
        </w:rPr>
        <w:t xml:space="preserve">tagada, et mitmekesisuse/madalama sotsiaal-majandusliku staatusega lapsed saaksid alusharidusest ja lapsehoiust täit kasu: lapsevanemate kaasamine laste haridusmudelitesse; kogukonna osalemine (VVOd); kaasavad pedagoogilised programmid/tavad mitmekesisuse, koostöö ja solidaarsuse edendamiseks; alushariduse ja lapsehoiu ühendamine muude perekondadele suunatud hoolekandeteenuste/kaitsega, nagu sissetulekutoetus, aktiivsed tööturuprogrammid, eluase jne </w:t>
      </w:r>
    </w:p>
    <w:p w:rsidR="007E20F1" w:rsidRPr="007E20F1" w:rsidRDefault="007E20F1" w:rsidP="007E20F1">
      <w:pPr>
        <w:numPr>
          <w:ilvl w:val="0"/>
          <w:numId w:val="18"/>
        </w:numPr>
        <w:spacing w:line="240" w:lineRule="auto"/>
        <w:ind w:left="851" w:hanging="284"/>
        <w:rPr>
          <w:rFonts w:eastAsia="Times New Roman"/>
          <w:sz w:val="28"/>
          <w:szCs w:val="28"/>
        </w:rPr>
      </w:pPr>
      <w:r w:rsidRPr="007E20F1">
        <w:rPr>
          <w:sz w:val="28"/>
          <w:szCs w:val="28"/>
        </w:rPr>
        <w:t xml:space="preserve">Keskkonnahoidlikkus: keskkonnasäästlike hoonete ehitamine; ringlussevõetud materjalide kasutamine õppimiseks; mahepõllumajanduslik toit ja kohalikelt tootjatelt pärinev toit; keskkonnaalane haridus jne </w:t>
      </w:r>
    </w:p>
    <w:p w:rsidR="007E20F1" w:rsidRPr="007E20F1" w:rsidRDefault="007E20F1" w:rsidP="007E20F1">
      <w:pPr>
        <w:numPr>
          <w:ilvl w:val="0"/>
          <w:numId w:val="18"/>
        </w:numPr>
        <w:spacing w:line="240" w:lineRule="auto"/>
        <w:ind w:left="851" w:hanging="284"/>
        <w:rPr>
          <w:rFonts w:eastAsia="Times New Roman"/>
          <w:sz w:val="28"/>
          <w:szCs w:val="28"/>
        </w:rPr>
      </w:pPr>
      <w:r w:rsidRPr="007E20F1">
        <w:rPr>
          <w:sz w:val="28"/>
          <w:szCs w:val="28"/>
        </w:rPr>
        <w:t>Digiüleminek: uue tehnoloogia kasutamine laste õpetamiseks ja arenguks ning õpetajate tööks; töötajate ja personali koolitamine; digitaalsete vahendite kasutamine lapsevanematega suhtlemiseks, taristute digiteerimine jne</w:t>
      </w:r>
    </w:p>
    <w:p w:rsidR="007E20F1" w:rsidRPr="007E20F1" w:rsidRDefault="007E20F1" w:rsidP="007E20F1">
      <w:pPr>
        <w:ind w:left="426"/>
        <w:rPr>
          <w:rFonts w:eastAsia="Times New Roman"/>
          <w:i/>
          <w:iCs/>
          <w:sz w:val="28"/>
          <w:szCs w:val="28"/>
        </w:rPr>
      </w:pPr>
      <w:r w:rsidRPr="007E20F1">
        <w:rPr>
          <w:i/>
          <w:iCs/>
          <w:sz w:val="28"/>
          <w:szCs w:val="28"/>
        </w:rPr>
        <w:t>(Kirjeldage palun valdkondi, kus asjaomased tavad on välja töötatud)</w:t>
      </w:r>
    </w:p>
    <w:p w:rsidR="007E20F1" w:rsidRPr="007E20F1" w:rsidRDefault="007E20F1" w:rsidP="007E20F1">
      <w:pPr>
        <w:ind w:left="426"/>
        <w:rPr>
          <w:rFonts w:eastAsia="Times New Roman"/>
          <w:i/>
          <w:iCs/>
          <w:sz w:val="28"/>
          <w:szCs w:val="28"/>
        </w:rPr>
      </w:pPr>
    </w:p>
    <w:p w:rsidR="007E20F1" w:rsidRPr="007E20F1" w:rsidRDefault="007E20F1" w:rsidP="007E20F1">
      <w:pPr>
        <w:keepNext/>
        <w:rPr>
          <w:rFonts w:eastAsia="Times New Roman"/>
          <w:b/>
          <w:bCs/>
          <w:sz w:val="28"/>
          <w:szCs w:val="28"/>
        </w:rPr>
      </w:pPr>
      <w:r w:rsidRPr="007E20F1">
        <w:rPr>
          <w:b/>
          <w:bCs/>
          <w:sz w:val="28"/>
          <w:szCs w:val="28"/>
        </w:rPr>
        <w:t>Euroopa Liidu roll</w:t>
      </w:r>
    </w:p>
    <w:p w:rsidR="007E20F1" w:rsidRPr="007E20F1" w:rsidRDefault="007E20F1" w:rsidP="007E20F1">
      <w:pPr>
        <w:keepNext/>
        <w:rPr>
          <w:rFonts w:eastAsia="Times New Roman"/>
          <w:b/>
          <w:bCs/>
          <w:sz w:val="28"/>
          <w:szCs w:val="28"/>
        </w:rPr>
      </w:pPr>
    </w:p>
    <w:p w:rsidR="007E20F1" w:rsidRPr="007E20F1" w:rsidRDefault="007E20F1" w:rsidP="007E20F1">
      <w:pPr>
        <w:keepNext/>
        <w:numPr>
          <w:ilvl w:val="0"/>
          <w:numId w:val="15"/>
        </w:numPr>
        <w:spacing w:line="240" w:lineRule="auto"/>
        <w:ind w:left="426" w:hanging="426"/>
        <w:rPr>
          <w:rFonts w:eastAsia="Times New Roman"/>
          <w:sz w:val="28"/>
          <w:szCs w:val="28"/>
        </w:rPr>
      </w:pPr>
      <w:r w:rsidRPr="007E20F1">
        <w:rPr>
          <w:sz w:val="28"/>
          <w:szCs w:val="28"/>
        </w:rPr>
        <w:t xml:space="preserve">Kas Euroopa Liit on andnud oma panuse/toetanud Teie omavalitsuse jõupingutusi, </w:t>
      </w:r>
      <w:proofErr w:type="gramStart"/>
      <w:r w:rsidRPr="007E20F1">
        <w:rPr>
          <w:sz w:val="28"/>
          <w:szCs w:val="28"/>
        </w:rPr>
        <w:t>et</w:t>
      </w:r>
      <w:proofErr w:type="gramEnd"/>
      <w:r w:rsidRPr="007E20F1">
        <w:rPr>
          <w:sz w:val="28"/>
          <w:szCs w:val="28"/>
        </w:rPr>
        <w:t xml:space="preserve"> tagada alla 3-aastastele lastele võrdne juurdepääs alusharidusele ja lapsehoiule, ja/või on välja töötanud ja rakendanud uuenduslikke tavasid kaasamise, kestlikkuse ja digitaliseerimise valdkonnas?  </w:t>
      </w:r>
    </w:p>
    <w:p w:rsidR="007E20F1" w:rsidRPr="007E20F1" w:rsidRDefault="007E20F1" w:rsidP="007E20F1">
      <w:pPr>
        <w:ind w:left="426"/>
        <w:rPr>
          <w:rFonts w:eastAsia="Times New Roman"/>
          <w:sz w:val="28"/>
          <w:szCs w:val="28"/>
        </w:rPr>
      </w:pPr>
      <w:r w:rsidRPr="007E20F1">
        <w:rPr>
          <w:sz w:val="28"/>
          <w:szCs w:val="28"/>
        </w:rPr>
        <w:t>(Kirjeldage)</w:t>
      </w:r>
    </w:p>
    <w:p w:rsidR="007E20F1" w:rsidRPr="007E20F1" w:rsidRDefault="007E20F1" w:rsidP="007E20F1">
      <w:pPr>
        <w:numPr>
          <w:ilvl w:val="0"/>
          <w:numId w:val="15"/>
        </w:numPr>
        <w:spacing w:line="240" w:lineRule="auto"/>
        <w:ind w:left="426" w:hanging="426"/>
        <w:rPr>
          <w:rFonts w:eastAsia="Times New Roman"/>
          <w:sz w:val="28"/>
          <w:szCs w:val="28"/>
        </w:rPr>
      </w:pPr>
      <w:r w:rsidRPr="007E20F1">
        <w:rPr>
          <w:sz w:val="28"/>
          <w:szCs w:val="28"/>
        </w:rPr>
        <w:t xml:space="preserve">Kuidas saaks Euroopa Liit tulevikus kaasa aidata Teie omavalitsuse püüdlustele tagada alla 3-aastastele lastele võrdne juurdepääs alusharidusele ja lapsehoiule ning uuendustele kaasamise, kestlikkuse ja digiülemineku alal </w:t>
      </w:r>
      <w:proofErr w:type="gramStart"/>
      <w:r w:rsidRPr="007E20F1">
        <w:rPr>
          <w:sz w:val="28"/>
          <w:szCs w:val="28"/>
        </w:rPr>
        <w:t>( mitu</w:t>
      </w:r>
      <w:proofErr w:type="gramEnd"/>
      <w:r w:rsidRPr="007E20F1">
        <w:rPr>
          <w:sz w:val="28"/>
          <w:szCs w:val="28"/>
        </w:rPr>
        <w:t xml:space="preserve"> valikut)? </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 xml:space="preserve">Euroopa Liidu rahaliste vahendite eraldamine kohalike omavalitsuste toetamiseks, et tagada võrdne juurdepääs kvaliteetsele, kaasavale ja jätkusuutlikule alusharidusele ja lapsehoiule </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Juhiste/tehnilise abi andmine tavade väljatöötamiseks</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 xml:space="preserve">Nõudmine, et keskvalitsused kavandaksid koos kohalike omavalitsustega  ühiselt Euroopa rahastamisvahendite (nt taasterahastu „NextGenerationEU“, lastegarantii jne) kaudu </w:t>
      </w:r>
      <w:r w:rsidRPr="007E20F1">
        <w:rPr>
          <w:sz w:val="28"/>
          <w:szCs w:val="28"/>
        </w:rPr>
        <w:lastRenderedPageBreak/>
        <w:t>rahastatavaid meetmeid/reforme, et laiendada võrdseid, kaasavaid ja jätkusuutlikke alushariduse ja lapsehoiu teenuseid</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ELi poolaasta läbivaatamine, et tagada kohalike ja piirkondlike omavalitsuste ees seisvate konkreetsete probleemide arvessevõtmine (nt näitajate läbivaatamine, et integreerida rohkem liigitatud andmeid kohalikul tasandil, otsesed konsultatsioonid kohalike omavalitsustega jne);</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Kogemustevahetuse korraldamine teiste linnade/piirkondade/riikide/akadeemiliste ringkondadega</w:t>
      </w:r>
    </w:p>
    <w:p w:rsidR="007E20F1" w:rsidRPr="007E20F1" w:rsidRDefault="007E20F1" w:rsidP="007E20F1">
      <w:pPr>
        <w:numPr>
          <w:ilvl w:val="0"/>
          <w:numId w:val="19"/>
        </w:numPr>
        <w:spacing w:line="240" w:lineRule="auto"/>
        <w:ind w:left="993" w:hanging="426"/>
        <w:rPr>
          <w:rFonts w:eastAsia="Times New Roman"/>
          <w:sz w:val="28"/>
          <w:szCs w:val="28"/>
        </w:rPr>
      </w:pPr>
      <w:r w:rsidRPr="007E20F1">
        <w:rPr>
          <w:sz w:val="28"/>
          <w:szCs w:val="28"/>
        </w:rPr>
        <w:t>Muu (kirjeldage)</w:t>
      </w:r>
    </w:p>
    <w:p w:rsidR="007E20F1" w:rsidRPr="007E20F1" w:rsidRDefault="007E20F1" w:rsidP="007E20F1">
      <w:pPr>
        <w:ind w:left="993"/>
        <w:rPr>
          <w:rFonts w:eastAsia="Times New Roman"/>
          <w:sz w:val="28"/>
          <w:szCs w:val="28"/>
        </w:rPr>
      </w:pPr>
    </w:p>
    <w:p w:rsidR="000E5209" w:rsidRDefault="000E5209" w:rsidP="007E20F1"/>
    <w:sectPr w:rsidR="000E5209">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7E20F1">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62605C"/>
    <w:rsid w:val="007E20F1"/>
    <w:rsid w:val="008126D3"/>
    <w:rsid w:val="00975479"/>
    <w:rsid w:val="00D44E7D"/>
    <w:rsid w:val="00E1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808"/>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2021-03-29T15:25:00Z</dcterms:modified>
</cp:coreProperties>
</file>