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F02F0" w14:textId="3756CE48" w:rsidR="00D23B99" w:rsidRPr="00D23B99" w:rsidRDefault="00471019" w:rsidP="00DD03F0">
      <w:r>
        <w:rPr>
          <w:noProof/>
          <w:lang w:val="en-GB" w:eastAsia="en-GB"/>
        </w:rPr>
        <w:drawing>
          <wp:inline distT="0" distB="0" distL="0" distR="0" wp14:anchorId="7F3924E2" wp14:editId="0DB36C84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99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11309899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11309899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3FAB61" w14:textId="77777777" w:rsidR="00471019" w:rsidRDefault="00471019" w:rsidP="00DD03F0">
      <w:pPr>
        <w:rPr>
          <w:b/>
          <w:i/>
          <w:sz w:val="24"/>
          <w:szCs w:val="24"/>
        </w:rPr>
      </w:pPr>
    </w:p>
    <w:p w14:paraId="5797A0F3" w14:textId="4C97AA07" w:rsidR="007E6792" w:rsidRPr="00471019" w:rsidRDefault="00DE326F" w:rsidP="00DD03F0">
      <w:pPr>
        <w:rPr>
          <w:i/>
          <w:sz w:val="24"/>
          <w:szCs w:val="24"/>
        </w:rPr>
      </w:pPr>
      <w:r w:rsidRPr="00471019">
        <w:rPr>
          <w:i/>
          <w:sz w:val="24"/>
          <w:szCs w:val="24"/>
        </w:rPr>
        <w:t xml:space="preserve">Intresserade kommuner, städer och regioner kan anpassa texten i nedanstående resolutionsmall till sina lokala eller regionala förhållanden. </w:t>
      </w:r>
    </w:p>
    <w:p w14:paraId="00000002" w14:textId="77777777" w:rsidR="00245FCC" w:rsidRPr="00E8709B" w:rsidRDefault="00245FCC" w:rsidP="00DD03F0">
      <w:pPr>
        <w:rPr>
          <w:b/>
          <w:i/>
          <w:sz w:val="24"/>
          <w:szCs w:val="24"/>
        </w:rPr>
      </w:pPr>
    </w:p>
    <w:p w14:paraId="00000004" w14:textId="2503AEC9" w:rsidR="00245FCC" w:rsidRPr="00E8709B" w:rsidRDefault="007E6792" w:rsidP="00DD03F0">
      <w:pPr>
        <w:rPr>
          <w:b/>
          <w:sz w:val="24"/>
          <w:szCs w:val="24"/>
        </w:rPr>
      </w:pPr>
      <w:r>
        <w:rPr>
          <w:b/>
          <w:sz w:val="24"/>
          <w:szCs w:val="24"/>
        </w:rPr>
        <w:t>Mall för resolution från kommun/stads/regionfullmäktige</w:t>
      </w:r>
      <w:r>
        <w:rPr>
          <w:b/>
          <w:sz w:val="24"/>
          <w:szCs w:val="24"/>
        </w:rPr>
        <w:br/>
        <w:t xml:space="preserve">OM ATT UTROPA ______________________ (kommunens/stadens/regionens namn) till en frihetszon för </w:t>
      </w:r>
      <w:proofErr w:type="spellStart"/>
      <w:r>
        <w:rPr>
          <w:b/>
          <w:sz w:val="24"/>
          <w:szCs w:val="24"/>
        </w:rPr>
        <w:t>hbtqi</w:t>
      </w:r>
      <w:proofErr w:type="spellEnd"/>
      <w:r>
        <w:rPr>
          <w:b/>
          <w:sz w:val="24"/>
          <w:szCs w:val="24"/>
        </w:rPr>
        <w:t>-personer</w:t>
      </w:r>
    </w:p>
    <w:p w14:paraId="00000005" w14:textId="540719B9" w:rsidR="00245FCC" w:rsidRPr="00E8709B" w:rsidRDefault="00245FCC" w:rsidP="00DD03F0">
      <w:pPr>
        <w:rPr>
          <w:sz w:val="24"/>
          <w:szCs w:val="24"/>
        </w:rPr>
      </w:pPr>
    </w:p>
    <w:p w14:paraId="00000006" w14:textId="158EF088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Kommun/stads/regionfullmäktige (stryk</w:t>
      </w:r>
      <w:r w:rsidR="003D2BEB">
        <w:rPr>
          <w:sz w:val="24"/>
          <w:szCs w:val="24"/>
        </w:rPr>
        <w:t xml:space="preserve"> det som inte är tillämpligt) i </w:t>
      </w:r>
      <w:r>
        <w:rPr>
          <w:sz w:val="24"/>
          <w:szCs w:val="24"/>
        </w:rPr>
        <w:t>______________________ (kommunens/stadens/regionens namn) utfärdar denna resolution</w:t>
      </w:r>
    </w:p>
    <w:p w14:paraId="00000007" w14:textId="6416851B" w:rsidR="00245FCC" w:rsidRPr="00E8709B" w:rsidRDefault="00245FCC" w:rsidP="00DD03F0">
      <w:pPr>
        <w:rPr>
          <w:sz w:val="24"/>
          <w:szCs w:val="24"/>
        </w:rPr>
      </w:pPr>
    </w:p>
    <w:p w14:paraId="00000008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med beaktande av Europeiska unionens stadga om de grundläggande rättigheterna,</w:t>
      </w:r>
    </w:p>
    <w:p w14:paraId="00000009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med beaktande av artikel 2 i fördraget om Europeiska unionen (EU-fördraget),</w:t>
      </w:r>
    </w:p>
    <w:p w14:paraId="0000000A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med beaktande av den europeiska konventionen om skydd för de mänskliga rättigheterna och de grundläggande friheterna och Europadomstolens tillhörande rättspraxis,</w:t>
      </w:r>
    </w:p>
    <w:p w14:paraId="0000000B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med beaktande av den allmänna förklaringen om de mänskliga rättigheterna,</w:t>
      </w:r>
    </w:p>
    <w:p w14:paraId="0000000C" w14:textId="3BEF4009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med beaktande av Europaparlamentets resoluti</w:t>
      </w:r>
      <w:r w:rsidR="003D2BEB">
        <w:rPr>
          <w:sz w:val="24"/>
          <w:szCs w:val="24"/>
        </w:rPr>
        <w:t>on om förklaringen om EU som en </w:t>
      </w:r>
      <w:r>
        <w:rPr>
          <w:sz w:val="24"/>
          <w:szCs w:val="24"/>
        </w:rPr>
        <w:t xml:space="preserve">frihetszon för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>-personer,</w:t>
      </w:r>
    </w:p>
    <w:p w14:paraId="0000000D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med beaktande av resolutionen från kommunfullmäktige i Lissabon om att utropa staden till en frihetszon för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>-personer, och av följande skäl:</w:t>
      </w:r>
    </w:p>
    <w:p w14:paraId="0000000E" w14:textId="656739EC" w:rsidR="00245FCC" w:rsidRPr="00E8709B" w:rsidRDefault="00245FCC" w:rsidP="00DD03F0">
      <w:pPr>
        <w:rPr>
          <w:sz w:val="24"/>
          <w:szCs w:val="24"/>
        </w:rPr>
      </w:pPr>
    </w:p>
    <w:p w14:paraId="0000000F" w14:textId="38F1E3ED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>-personers rättigheter är mänskliga rättigheter, och rätten till likabehandling och icke-diskriminering är en grundläggande rättighet som fastst</w:t>
      </w:r>
      <w:r w:rsidR="003D2BEB">
        <w:rPr>
          <w:sz w:val="24"/>
          <w:szCs w:val="24"/>
        </w:rPr>
        <w:t>älls i EU-fördragen och i </w:t>
      </w:r>
      <w:r>
        <w:rPr>
          <w:sz w:val="24"/>
          <w:szCs w:val="24"/>
        </w:rPr>
        <w:t>stadgan, och bör respekteras till fullo.</w:t>
      </w:r>
    </w:p>
    <w:p w14:paraId="00000010" w14:textId="147A51C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Sedan 2019 har fler än 100 regioner, distrikt och kommuner runt om i Polen antagit resolutioner där de förklarat sig själva fria från så kallad </w:t>
      </w:r>
      <w:proofErr w:type="spellStart"/>
      <w:r>
        <w:rPr>
          <w:sz w:val="24"/>
          <w:szCs w:val="24"/>
        </w:rPr>
        <w:t>hbti</w:t>
      </w:r>
      <w:proofErr w:type="spellEnd"/>
      <w:r>
        <w:rPr>
          <w:sz w:val="24"/>
          <w:szCs w:val="24"/>
        </w:rPr>
        <w:t>-ideologi eller antagit ”regionala stadgor om familjens rättigheter”.</w:t>
      </w:r>
    </w:p>
    <w:p w14:paraId="00000011" w14:textId="3AE015C4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 november 2020 antog den ungerska staden </w:t>
      </w:r>
      <w:proofErr w:type="spellStart"/>
      <w:r>
        <w:rPr>
          <w:sz w:val="24"/>
          <w:szCs w:val="24"/>
        </w:rPr>
        <w:t>Nagykáta</w:t>
      </w:r>
      <w:proofErr w:type="spellEnd"/>
      <w:r>
        <w:rPr>
          <w:sz w:val="24"/>
          <w:szCs w:val="24"/>
        </w:rPr>
        <w:t xml:space="preserve"> en resolution som förbjuder ”spridning och marknadsföring av </w:t>
      </w:r>
      <w:proofErr w:type="spellStart"/>
      <w:r>
        <w:rPr>
          <w:sz w:val="24"/>
          <w:szCs w:val="24"/>
        </w:rPr>
        <w:t>hbtq</w:t>
      </w:r>
      <w:proofErr w:type="spellEnd"/>
      <w:r>
        <w:rPr>
          <w:sz w:val="24"/>
          <w:szCs w:val="24"/>
        </w:rPr>
        <w:t>-propaganda”.</w:t>
      </w:r>
    </w:p>
    <w:p w14:paraId="00000012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Dessa resolutioner innebär direkt och indirekt diskriminering av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 xml:space="preserve">-personer och leder direkt till en ökning av våldet, intoleransen och hatpropagandan mot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 xml:space="preserve">-personer eller mot personer som anses vara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>-personer, enligt en studie som genomfördes av Europeiska unionens byrå för grundläggande rättigheter i maj 2020.</w:t>
      </w:r>
    </w:p>
    <w:p w14:paraId="00000013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Kommissionen har avslagit ansökningar om EU-medel inom ramen för dess vänortsprogram från polska städer som antagit resolutioner om </w:t>
      </w:r>
      <w:proofErr w:type="spellStart"/>
      <w:r>
        <w:rPr>
          <w:sz w:val="24"/>
          <w:szCs w:val="24"/>
        </w:rPr>
        <w:t>hbti</w:t>
      </w:r>
      <w:proofErr w:type="spellEnd"/>
      <w:r>
        <w:rPr>
          <w:sz w:val="24"/>
          <w:szCs w:val="24"/>
        </w:rPr>
        <w:t>-fria zoner eller om familjens rättigheter. Alla EU-fonder som förvaltas enligt förordningen om gemensamma bestämmelser 2021–2027 måste respektera principen om icke-diskriminering och de grundläggande rättigheterna enligt fördraget, även på grundval av sexuell läggning.</w:t>
      </w:r>
    </w:p>
    <w:p w14:paraId="00000014" w14:textId="65444D7E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 xml:space="preserve">-personer i Polen och Ungern utsätts visserligen för systematisk diskriminering, men detta är också ett problem i hela EU, med få eller inga framsteg när det gäller att minska den ihållande diskrimineringen av samt hatpropagandan, hatbrotten och trakasserierna mot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 xml:space="preserve">-personer.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>-personer i alla medlemsstater möter fortfarande oftare diskriminering på livets alla områden, ä</w:t>
      </w:r>
      <w:r w:rsidR="003D2BEB">
        <w:rPr>
          <w:sz w:val="24"/>
          <w:szCs w:val="24"/>
        </w:rPr>
        <w:t>ven på arbetsplatsen och i </w:t>
      </w:r>
      <w:r>
        <w:rPr>
          <w:sz w:val="24"/>
          <w:szCs w:val="24"/>
        </w:rPr>
        <w:t xml:space="preserve">skolan, och utsätts ofta för fysiska, känslomässiga och sexuella angrepp, både online och </w:t>
      </w:r>
      <w:proofErr w:type="spellStart"/>
      <w:r>
        <w:rPr>
          <w:sz w:val="24"/>
          <w:szCs w:val="24"/>
        </w:rPr>
        <w:t>offline</w:t>
      </w:r>
      <w:proofErr w:type="spellEnd"/>
      <w:r>
        <w:rPr>
          <w:sz w:val="24"/>
          <w:szCs w:val="24"/>
        </w:rPr>
        <w:t xml:space="preserve">, vilket leder till en oroväckande självmordsfrekvens bland unga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>-personer, särskilt bland unga transpersoner.</w:t>
      </w:r>
    </w:p>
    <w:p w14:paraId="00000015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Att bekämpa ojämlikhet i EU är ett delat ansvar som kräver gemensamma insatser och åtgärder på alla förvaltningsnivåer, särskilt av de lokala och regionala myndigheterna, som har en central roll att spela i detta sammanhang eftersom de ansvarar för att genomföra tre fjärdedelar av EU:s lagstiftning och främja jämlikhet och mångfald.</w:t>
      </w:r>
    </w:p>
    <w:p w14:paraId="00000016" w14:textId="6324B40A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Erkännande, skydd och främjande av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 xml:space="preserve">-personers mänskliga rättigheter på västra Balkan är ett viktigt steg i processen för anslutning till EU för länderna i regionen, och lokala </w:t>
      </w:r>
      <w:proofErr w:type="spellStart"/>
      <w:r>
        <w:rPr>
          <w:sz w:val="24"/>
          <w:szCs w:val="24"/>
        </w:rPr>
        <w:t>hbti</w:t>
      </w:r>
      <w:proofErr w:type="spellEnd"/>
      <w:r>
        <w:rPr>
          <w:sz w:val="24"/>
          <w:szCs w:val="24"/>
        </w:rPr>
        <w:t xml:space="preserve">-initiativ för att bekämpa daglig diskriminering och hatbrott är avgörande för att öka medvetenheten och främja efterlevnaden. </w:t>
      </w:r>
    </w:p>
    <w:p w14:paraId="00000017" w14:textId="0B820F0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Gruppen Europeiska Socialdemokraters Parti vid Europeiska regionkommittén har tillsammans med </w:t>
      </w:r>
      <w:proofErr w:type="spellStart"/>
      <w:r>
        <w:rPr>
          <w:sz w:val="24"/>
          <w:szCs w:val="24"/>
        </w:rPr>
        <w:t>Renew</w:t>
      </w:r>
      <w:proofErr w:type="spellEnd"/>
      <w:r>
        <w:rPr>
          <w:sz w:val="24"/>
          <w:szCs w:val="24"/>
        </w:rPr>
        <w:t xml:space="preserve"> Europe, Europeiska alliansen och De gröna uppmanat kommittén att ta tydlig ställning mot kränkningar av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 xml:space="preserve">-personers rättigheter, såsom utvecklingen av zoner som är fria från så kallad </w:t>
      </w:r>
      <w:proofErr w:type="spellStart"/>
      <w:r>
        <w:rPr>
          <w:sz w:val="24"/>
          <w:szCs w:val="24"/>
        </w:rPr>
        <w:t>hbt</w:t>
      </w:r>
      <w:proofErr w:type="spellEnd"/>
      <w:r>
        <w:rPr>
          <w:sz w:val="24"/>
          <w:szCs w:val="24"/>
        </w:rPr>
        <w:t>-ideologi.</w:t>
      </w:r>
    </w:p>
    <w:p w14:paraId="00000018" w14:textId="3862BEA4" w:rsidR="00245FCC" w:rsidRPr="00E8709B" w:rsidRDefault="00245FCC" w:rsidP="00DD03F0">
      <w:pPr>
        <w:rPr>
          <w:sz w:val="24"/>
          <w:szCs w:val="24"/>
        </w:rPr>
      </w:pPr>
    </w:p>
    <w:p w14:paraId="00000019" w14:textId="02A822D2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Mot bakgrund av ovanstående beslutar kommun/stads/regionfullmäktige (stryk det som inte är tillämpligt) i ______________________ (kommunens/stadens/regionens namn)</w:t>
      </w:r>
    </w:p>
    <w:p w14:paraId="0000001A" w14:textId="33BC6EDA" w:rsidR="00245FCC" w:rsidRPr="00E8709B" w:rsidRDefault="00245FCC" w:rsidP="00DD03F0">
      <w:pPr>
        <w:rPr>
          <w:sz w:val="24"/>
          <w:szCs w:val="24"/>
        </w:rPr>
      </w:pPr>
    </w:p>
    <w:p w14:paraId="0000001B" w14:textId="5ABADF1F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att utropa ______________________ (kommunens/</w:t>
      </w:r>
      <w:r w:rsidR="003D2BEB">
        <w:rPr>
          <w:sz w:val="24"/>
          <w:szCs w:val="24"/>
        </w:rPr>
        <w:t>stadens/regionens namn) till en </w:t>
      </w:r>
      <w:r>
        <w:rPr>
          <w:sz w:val="24"/>
          <w:szCs w:val="24"/>
        </w:rPr>
        <w:t xml:space="preserve">frihetszon för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 xml:space="preserve">-personer, i enlighet med Europaparlamentets förklaring för Europeiska unionen av den 11 mars 2021, och åtar sig att dels vidta offentliga åtgärder för att främja och skydda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>-personers rättigheter, dels uttryckligen bestraffa mekanismer för strukturell diskriminering,</w:t>
      </w:r>
    </w:p>
    <w:p w14:paraId="0000001C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D" w14:textId="77777777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att fördöma de polska och ungerska myndigheternas åtgärder mot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 xml:space="preserve">-personers rättigheter, som tydligt åsidosätter Europeiska unionens stadga om de grundläggande </w:t>
      </w:r>
      <w:r>
        <w:rPr>
          <w:sz w:val="24"/>
          <w:szCs w:val="24"/>
        </w:rPr>
        <w:lastRenderedPageBreak/>
        <w:t xml:space="preserve">rättigheterna och den allmänna förklaringen om de mänskliga rättigheterna, och alla andra former av diskriminering av </w:t>
      </w:r>
      <w:proofErr w:type="spellStart"/>
      <w:r>
        <w:rPr>
          <w:sz w:val="24"/>
          <w:szCs w:val="24"/>
        </w:rPr>
        <w:t>hbtqi</w:t>
      </w:r>
      <w:proofErr w:type="spellEnd"/>
      <w:r>
        <w:rPr>
          <w:sz w:val="24"/>
          <w:szCs w:val="24"/>
        </w:rPr>
        <w:t>-personer,</w:t>
      </w:r>
    </w:p>
    <w:p w14:paraId="0000001E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F" w14:textId="6C7F6396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att hissa regnbågsflaggan på kommunhu</w:t>
      </w:r>
      <w:r w:rsidR="003D2BEB">
        <w:rPr>
          <w:sz w:val="24"/>
          <w:szCs w:val="24"/>
        </w:rPr>
        <w:t>set/stadshuset/regionens säte i </w:t>
      </w:r>
      <w:r>
        <w:rPr>
          <w:sz w:val="24"/>
          <w:szCs w:val="24"/>
        </w:rPr>
        <w:t xml:space="preserve">______________________ (kommun/stad/region) under </w:t>
      </w:r>
      <w:proofErr w:type="spellStart"/>
      <w:r>
        <w:rPr>
          <w:sz w:val="24"/>
          <w:szCs w:val="24"/>
        </w:rPr>
        <w:t>pridemånaden</w:t>
      </w:r>
      <w:proofErr w:type="spellEnd"/>
      <w:r>
        <w:rPr>
          <w:sz w:val="24"/>
          <w:szCs w:val="24"/>
        </w:rPr>
        <w:t>.</w:t>
      </w:r>
    </w:p>
    <w:sectPr w:rsidR="00245FCC" w:rsidRPr="00E8709B" w:rsidSect="008D05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17" w:right="1417" w:bottom="1417" w:left="141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0751C" w14:textId="77777777" w:rsidR="00974F8B" w:rsidRDefault="00974F8B" w:rsidP="00663778">
      <w:pPr>
        <w:spacing w:line="240" w:lineRule="auto"/>
      </w:pPr>
      <w:r>
        <w:separator/>
      </w:r>
    </w:p>
  </w:endnote>
  <w:endnote w:type="continuationSeparator" w:id="0">
    <w:p w14:paraId="6B6AE44C" w14:textId="77777777" w:rsidR="00974F8B" w:rsidRDefault="00974F8B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3A399" w14:textId="77777777" w:rsidR="008D0520" w:rsidRPr="008D0520" w:rsidRDefault="008D0520" w:rsidP="008D0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06F218AC" w:rsidR="00663778" w:rsidRPr="00471019" w:rsidRDefault="00663778" w:rsidP="00471019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CEDE" w14:textId="77777777" w:rsidR="008D0520" w:rsidRPr="008D0520" w:rsidRDefault="008D0520" w:rsidP="008D0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C57AD" w14:textId="77777777" w:rsidR="00974F8B" w:rsidRDefault="00974F8B" w:rsidP="00663778">
      <w:pPr>
        <w:spacing w:line="240" w:lineRule="auto"/>
      </w:pPr>
      <w:r>
        <w:separator/>
      </w:r>
    </w:p>
  </w:footnote>
  <w:footnote w:type="continuationSeparator" w:id="0">
    <w:p w14:paraId="48540F50" w14:textId="77777777" w:rsidR="00974F8B" w:rsidRDefault="00974F8B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79415" w14:textId="77777777" w:rsidR="008D0520" w:rsidRPr="008D0520" w:rsidRDefault="008D0520" w:rsidP="008D0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8546F" w14:textId="5BF0751C" w:rsidR="008D0520" w:rsidRPr="008D0520" w:rsidRDefault="008D0520" w:rsidP="008D05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5FCB" w14:textId="77777777" w:rsidR="008D0520" w:rsidRPr="008D0520" w:rsidRDefault="008D0520" w:rsidP="008D0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A6DCB6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45DCC"/>
    <w:rsid w:val="00077840"/>
    <w:rsid w:val="0009588E"/>
    <w:rsid w:val="00110553"/>
    <w:rsid w:val="00185826"/>
    <w:rsid w:val="00245FCC"/>
    <w:rsid w:val="003C2346"/>
    <w:rsid w:val="003D2BEB"/>
    <w:rsid w:val="00430D00"/>
    <w:rsid w:val="00442240"/>
    <w:rsid w:val="00454738"/>
    <w:rsid w:val="00471019"/>
    <w:rsid w:val="004C4177"/>
    <w:rsid w:val="00597755"/>
    <w:rsid w:val="0064613A"/>
    <w:rsid w:val="00663778"/>
    <w:rsid w:val="0077582D"/>
    <w:rsid w:val="007E6792"/>
    <w:rsid w:val="007F2025"/>
    <w:rsid w:val="008975DA"/>
    <w:rsid w:val="008D0520"/>
    <w:rsid w:val="00974F8B"/>
    <w:rsid w:val="009A3049"/>
    <w:rsid w:val="00AE61EB"/>
    <w:rsid w:val="00BC79C2"/>
    <w:rsid w:val="00D23B99"/>
    <w:rsid w:val="00D64787"/>
    <w:rsid w:val="00DD03F0"/>
    <w:rsid w:val="00DE326F"/>
    <w:rsid w:val="00E8709B"/>
    <w:rsid w:val="00ED73FE"/>
    <w:rsid w:val="00FC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v-SE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sv-SE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sv-SE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sv-SE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sv-SE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sv-SE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sv-SE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7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87"/>
    <w:rPr>
      <w:rFonts w:ascii="Segoe UI" w:eastAsia="Times New Roman" w:hAnsi="Segoe UI" w:cs="Segoe UI"/>
      <w:sz w:val="18"/>
      <w:szCs w:val="18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3TERTJPUQSXZ-290178795-2629</_dlc_DocId>
    <_dlc_DocIdUrl xmlns="2c9916e3-590a-47ee-8a4b-72c761a69c9e">
      <Url>http://dm2016/cor/2021/_layouts/15/DocIdRedir.aspx?ID=3TERTJPUQSXZ-290178795-2629</Url>
      <Description>3TERTJPUQSXZ-290178795-2629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47</Value>
      <Value>34</Value>
      <Value>33</Value>
      <Value>32</Value>
      <Value>31</Value>
      <Value>30</Value>
      <Value>29</Value>
      <Value>28</Value>
      <Value>27</Value>
      <Value>26</Value>
      <Value>25</Value>
      <Value>24</Value>
      <Value>23</Value>
      <Value>22</Value>
      <Value>21</Value>
      <Value>20</Value>
      <Value>19</Value>
      <Value>18</Value>
      <Value>17</Value>
      <Value>16</Value>
      <Value>15</Value>
      <Value>14</Value>
      <Value>102</Value>
      <Value>8</Value>
      <Value>6</Value>
      <Value>4</Value>
      <Value>3</Value>
      <Value>2</Value>
      <Value>1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SV</TermName>
          <TermId xmlns="http://schemas.microsoft.com/office/infopath/2007/PartnerControls">c2ed69e7-a339-43d7-8f22-d93680a92aa0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Sermage Esther</DisplayName>
        <AccountId>2196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SK</TermName>
          <TermId xmlns="http://schemas.microsoft.com/office/infopath/2007/PartnerControls">46d9fce0-ef79-4f71-b89b-cd6aa82426b8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HR</TermName>
          <TermId xmlns="http://schemas.microsoft.com/office/infopath/2007/PartnerControls">2f555653-ed1a-4fe6-8362-9082d95989e5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SV</TermName>
          <TermId xmlns="http://schemas.microsoft.com/office/infopath/2007/PartnerControls">c2ed69e7-a339-43d7-8f22-d93680a92aa0</TermId>
        </TermInfo>
        <TermInfo xmlns="http://schemas.microsoft.com/office/infopath/2007/PartnerControls">
          <TermName xmlns="http://schemas.microsoft.com/office/infopath/2007/PartnerControls">FI</TermName>
          <TermId xmlns="http://schemas.microsoft.com/office/infopath/2007/PartnerControls">87606a43-d45f-42d6-b8c9-e1a3457db5b7</TermId>
        </TermInfo>
        <TermInfo xmlns="http://schemas.microsoft.com/office/infopath/2007/PartnerControls">
          <TermName xmlns="http://schemas.microsoft.com/office/infopath/2007/PartnerControls">GA</TermName>
          <TermId xmlns="http://schemas.microsoft.com/office/infopath/2007/PartnerControls">762d2456-c427-4ecb-b312-af3dad8e258c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PT</TermName>
          <TermId xmlns="http://schemas.microsoft.com/office/infopath/2007/PartnerControls">50ccc04a-eadd-42ae-a0cb-acaf45f812ba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ET</TermName>
          <TermId xmlns="http://schemas.microsoft.com/office/infopath/2007/PartnerControls">ff6c3f4c-b02c-4c3c-ab07-2c37995a7a0a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  <TermInfo xmlns="http://schemas.microsoft.com/office/infopath/2007/PartnerControls">
          <TermName xmlns="http://schemas.microsoft.com/office/infopath/2007/PartnerControls">SL</TermName>
          <TermId xmlns="http://schemas.microsoft.com/office/infopath/2007/PartnerControls">98a412ae-eb01-49e9-ae3d-585a81724cfc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66F91B-9D35-4553-96B4-E9B300ADF672}">
  <ds:schemaRefs>
    <ds:schemaRef ds:uri="53b81712-f9c8-4958-a947-3e706e9f0091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sharepoint/v3/fields"/>
    <ds:schemaRef ds:uri="http://purl.org/dc/elements/1.1/"/>
    <ds:schemaRef ds:uri="http://schemas.microsoft.com/office/2006/metadata/properties"/>
    <ds:schemaRef ds:uri="2c9916e3-590a-47ee-8a4b-72c761a69c9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C60957-0762-4867-9C37-6034F9D44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4A8B9C-FD12-42BD-B00B-DF586811A4E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788AF9A-F26B-49D2-A3AA-818BE65642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från kommun/stads/regionfullmäktige om en frihetszon för hbtqi-personer</vt:lpstr>
    </vt:vector>
  </TitlesOfParts>
  <Company>EESC-ECOR</Company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från kommun/stads/regionfullmäktige om en frihetszon för hbtqi-personer</dc:title>
  <dc:subject>INFO</dc:subject>
  <dc:creator>Fotinou Olga</dc:creator>
  <cp:keywords>COR-2021-02556-00-01-INFO-TRA-EN</cp:keywords>
  <dc:description>Rapporteur:  - Original language: EN - Date of document: 19/05/2021 - Date of meeting:  - External documents:  - Administrator: MME TURCK Katja</dc:description>
  <cp:lastModifiedBy>Katja Turck</cp:lastModifiedBy>
  <cp:revision>3</cp:revision>
  <dcterms:created xsi:type="dcterms:W3CDTF">2021-05-19T15:11:00Z</dcterms:created>
  <dcterms:modified xsi:type="dcterms:W3CDTF">2021-05-31T07:40:00Z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18/05/2021, 07/05/2021</vt:lpwstr>
  </property>
  <property fmtid="{D5CDD505-2E9C-101B-9397-08002B2CF9AE}" pid="4" name="Pref_Time">
    <vt:lpwstr>10:04:08, 11:55:19</vt:lpwstr>
  </property>
  <property fmtid="{D5CDD505-2E9C-101B-9397-08002B2CF9AE}" pid="5" name="Pref_User">
    <vt:lpwstr>hnic, amett</vt:lpwstr>
  </property>
  <property fmtid="{D5CDD505-2E9C-101B-9397-08002B2CF9AE}" pid="6" name="Pref_FileName">
    <vt:lpwstr>COR-2021-02556-00-01-INFO-ORI.docx, 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f1e2008f-5606-474a-8790-533637fe6acd</vt:lpwstr>
  </property>
  <property fmtid="{D5CDD505-2E9C-101B-9397-08002B2CF9AE}" pid="9" name="AvailableTranslations">
    <vt:lpwstr>20;#MT|7df99101-6854-4a26-b53a-b88c0da02c26;#19;#SK|46d9fce0-ef79-4f71-b89b-cd6aa82426b8;#25;#BG|1a1b3951-7821-4e6a-85f5-5673fc08bd2c;#34;#HR|2f555653-ed1a-4fe6-8362-9082d95989e5;#29;#CS|72f9705b-0217-4fd3-bea2-cbc7ed80e26e;#14;#DE|f6b31e5a-26fa-4935-b661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MT|7df99101-6854-4a26-b53a-b88c0da02c26;BG|1a1b3951-7821-4e6a-85f5-5673fc08bd2c;HR|2f555653-ed1a-4fe6-8362-9082d95989e5;CS|72f9705b-0217-4fd3-bea2-cbc7ed80e26e;DE|f6b31e5a-26fa-4935-b661-318e46daf27e;LT|a7ff5ce7-6123-4f68-865a-a57c31810414;FI|87606a43-d45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47;#GA|762d2456-c427-4ecb-b312-af3dad8e258c;#34;#HR|2f555653-ed1a-4fe6-8362-9082d95989e5;#33;#RO|feb747a2-64cd-4299-af12-4833ddc30497;#32;#SL|98a412ae-eb01-49e9-ae3d-585a81724cfc;#31;#NL|55c6556c-b4f4-441d-9acf-c498d4f838bd;#30;#ET|ff6c3f4c-b02c-4c3c-ab07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26;#SV|c2ed69e7-a339-43d7-8f22-d93680a92aa0</vt:lpwstr>
  </property>
</Properties>
</file>