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rPr>
      </w:pPr>
      <w:r>
        <w:rPr>
          <w:i/>
        </w:rPr>
        <w:t xml:space="preserve">Текстът на примерната резолюция по-долу може да бъде адаптиран от заинтересованите общини, градове или региони към особеностите на техния местен или регионален контекст. </w:t>
      </w:r>
    </w:p>
    <w:p w14:paraId="00000002" w14:textId="54E2C9EE" w:rsidR="00D50B28" w:rsidRPr="00E91B41" w:rsidRDefault="00D50B28" w:rsidP="00126E5F">
      <w:pPr>
        <w:rPr>
          <w:b/>
          <w:i/>
        </w:rPr>
      </w:pPr>
    </w:p>
    <w:p w14:paraId="00000003" w14:textId="79A883B8" w:rsidR="00D50B28" w:rsidRPr="00E91B41" w:rsidRDefault="00FF04B6" w:rsidP="00126E5F">
      <w:pPr>
        <w:rPr>
          <w:b/>
        </w:rPr>
      </w:pPr>
      <w:r>
        <w:rPr>
          <w:b/>
        </w:rPr>
        <w:t>Примерен текст: Резолюция на Общинския/Градския/Регионалния съвет ОТНОСНО ОБЯВЯВАНЕТО на ____________________________ (име на града/региона) за „безопасно място за жените“</w:t>
      </w:r>
    </w:p>
    <w:p w14:paraId="00000004" w14:textId="77777777" w:rsidR="00D50B28" w:rsidRPr="00E91B41" w:rsidRDefault="00D50B28" w:rsidP="00126E5F">
      <w:pPr>
        <w:rPr>
          <w:lang w:val="en-GB"/>
        </w:rPr>
      </w:pPr>
    </w:p>
    <w:p w14:paraId="00000005" w14:textId="6D2669EA" w:rsidR="00D50B28" w:rsidRPr="00E91B41" w:rsidRDefault="00FF04B6" w:rsidP="00126E5F">
      <w:r>
        <w:t>Общинският/Регионалният съвет (ненужното се зачерква) на __________________________ (име на града/региона),</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като взе предвид Всеобщата декларация за правата на човека,</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като взе предвид членове 2 и 3 от Договора за Европейския съюз (ДЕС),</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като взе предвид Хартата на основните права на Европейския съюз,</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като взе предвид Европейската конвенция за правата на човека и свързаната съдебна практика на Европейския съд по правата на човека,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като взе предвид Конвенцията на Съвета на Европа за превенция и борба с насилието над жени и домашното насилие (Истанбулска конвенция),</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като взе предвид предложението на Комисията от 8 март 2022 г. за директива относно борбата с насилието над жени и домашното насилие,</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 xml:space="preserve">като взе предвид съобщението на Комисията от 5 март 2020 г., озаглавено „Съюз на равенство: Стратегия за </w:t>
      </w:r>
      <w:proofErr w:type="spellStart"/>
      <w:r>
        <w:rPr>
          <w:color w:val="000000" w:themeColor="text1"/>
          <w:sz w:val="22"/>
        </w:rPr>
        <w:t>равeнство</w:t>
      </w:r>
      <w:proofErr w:type="spellEnd"/>
      <w:r>
        <w:rPr>
          <w:color w:val="000000" w:themeColor="text1"/>
          <w:sz w:val="22"/>
        </w:rPr>
        <w:t xml:space="preserve"> между половете (2020—2025 г.)“,</w:t>
      </w:r>
    </w:p>
    <w:p w14:paraId="0000000E" w14:textId="77777777" w:rsidR="00D50B28" w:rsidRPr="00E91B41" w:rsidRDefault="00FF04B6" w:rsidP="00E91B41">
      <w:pPr>
        <w:pStyle w:val="ListParagraph"/>
        <w:numPr>
          <w:ilvl w:val="0"/>
          <w:numId w:val="11"/>
        </w:numPr>
        <w:tabs>
          <w:tab w:val="clear" w:pos="0"/>
        </w:tabs>
        <w:ind w:left="850"/>
      </w:pPr>
      <w:r>
        <w:t xml:space="preserve">като взе предвид Резолюцията на Европейския парламент от 16 септември 2021 г., </w:t>
      </w:r>
      <w:proofErr w:type="spellStart"/>
      <w:r>
        <w:t>съдържащa</w:t>
      </w:r>
      <w:proofErr w:type="spellEnd"/>
      <w:r>
        <w:t xml:space="preserve"> препоръки към Комисията относно определянето на основаното на пола насилие като нова област на престъпност по смисъла на член 83, параграф 1 от ДФЕС,</w:t>
      </w:r>
    </w:p>
    <w:p w14:paraId="0000000F" w14:textId="6FB53ADD" w:rsidR="00D50B28" w:rsidRPr="00CF1E0A" w:rsidRDefault="00FF04B6" w:rsidP="00E91B41">
      <w:pPr>
        <w:pStyle w:val="ListParagraph"/>
        <w:numPr>
          <w:ilvl w:val="0"/>
          <w:numId w:val="11"/>
        </w:numPr>
        <w:tabs>
          <w:tab w:val="clear" w:pos="0"/>
        </w:tabs>
        <w:ind w:left="850"/>
      </w:pPr>
      <w:r>
        <w:t>като взе предвид Резолюцията на Европейския парламент от 12 февруари 2020 г. относно стратегия на ЕС за прекратяване на гениталното осакатяване на жени по света,</w:t>
      </w:r>
    </w:p>
    <w:p w14:paraId="00000010" w14:textId="77777777" w:rsidR="00D50B28" w:rsidRPr="00E91B41" w:rsidRDefault="00FF04B6" w:rsidP="00E91B41">
      <w:pPr>
        <w:pStyle w:val="ListParagraph"/>
        <w:numPr>
          <w:ilvl w:val="0"/>
          <w:numId w:val="11"/>
        </w:numPr>
        <w:tabs>
          <w:tab w:val="clear" w:pos="0"/>
        </w:tabs>
        <w:ind w:left="850"/>
      </w:pPr>
      <w:r>
        <w:t>като взе предвид Конвенцията на ООН за премахване на всички форми на дискриминация по отношение на жените (CEDAW),</w:t>
      </w:r>
    </w:p>
    <w:p w14:paraId="00000011" w14:textId="4158C624" w:rsidR="00D50B28" w:rsidRPr="00E91B41" w:rsidRDefault="00FF04B6" w:rsidP="00E91B41">
      <w:pPr>
        <w:pStyle w:val="ListParagraph"/>
        <w:numPr>
          <w:ilvl w:val="0"/>
          <w:numId w:val="11"/>
        </w:numPr>
        <w:tabs>
          <w:tab w:val="clear" w:pos="0"/>
        </w:tabs>
        <w:ind w:left="850"/>
      </w:pPr>
      <w:r>
        <w:t>като взе предвид Конвенция № 190 на Международната организация на труда за премахване на насилието и тормоза в сферата на труда,</w:t>
      </w:r>
    </w:p>
    <w:p w14:paraId="00000012" w14:textId="42155ADE" w:rsidR="00D50B28" w:rsidRPr="00CF1E0A" w:rsidRDefault="00FF04B6" w:rsidP="00E91B41">
      <w:pPr>
        <w:pStyle w:val="ListParagraph"/>
        <w:numPr>
          <w:ilvl w:val="0"/>
          <w:numId w:val="11"/>
        </w:numPr>
        <w:tabs>
          <w:tab w:val="clear" w:pos="0"/>
        </w:tabs>
        <w:ind w:left="850"/>
      </w:pPr>
      <w:r>
        <w:t>като взе предвид цел 5 на ООН за устойчиво развитие „Равенство между половете“,</w:t>
      </w:r>
    </w:p>
    <w:p w14:paraId="00000013" w14:textId="2F63E25F" w:rsidR="00D50B28" w:rsidRPr="00E91B41" w:rsidRDefault="00FF04B6" w:rsidP="00E91B41">
      <w:pPr>
        <w:pStyle w:val="ListParagraph"/>
        <w:numPr>
          <w:ilvl w:val="0"/>
          <w:numId w:val="11"/>
        </w:numPr>
        <w:tabs>
          <w:tab w:val="clear" w:pos="0"/>
        </w:tabs>
        <w:ind w:left="850"/>
      </w:pPr>
      <w:r>
        <w:t>като взе предвид Резолюцията на Европейския парламент от 14 декември 2021 г., съдържаща препоръки към Комисията относно борбата с насилието, основано на пола: кибернасилие,</w:t>
      </w:r>
    </w:p>
    <w:p w14:paraId="19B3B425" w14:textId="213F096D" w:rsidR="0088414D" w:rsidRPr="00E91B41" w:rsidRDefault="0088414D" w:rsidP="00E91B41">
      <w:pPr>
        <w:pStyle w:val="ListParagraph"/>
        <w:numPr>
          <w:ilvl w:val="0"/>
          <w:numId w:val="11"/>
        </w:numPr>
        <w:tabs>
          <w:tab w:val="clear" w:pos="0"/>
        </w:tabs>
        <w:ind w:left="850"/>
      </w:pPr>
      <w:r>
        <w:t>като взе предвид Резолюцията на Правителството на автономна област Валенсия относно обявяването на областта за „безопасно място за жените“,</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като има предвид, че равенството между жените и мъжете е основна ценност на Съюза и основно право, заложено в Договорите и в Хартата на основните права на Европейския съюз; </w:t>
      </w:r>
    </w:p>
    <w:p w14:paraId="00000016" w14:textId="77777777" w:rsidR="00D50B28" w:rsidRPr="00E91B41" w:rsidRDefault="00FF04B6" w:rsidP="00126E5F">
      <w:pPr>
        <w:pStyle w:val="ListParagraph"/>
        <w:numPr>
          <w:ilvl w:val="0"/>
          <w:numId w:val="5"/>
        </w:numPr>
        <w:shd w:val="clear" w:color="auto" w:fill="FFFFFF"/>
        <w:ind w:left="1134" w:hanging="567"/>
      </w:pPr>
      <w:r>
        <w:t>като има предвид, че борбата с насилието, основано на пола, в ЕС е споделена отговорност, която изисква съвместни усилия и действия на всички равнища на управление, и по-специално от страна на местните и регионалните власти, които играят ключова роля в това отношение, тъй като са в най-тясна близост до гражданите по места;</w:t>
      </w:r>
    </w:p>
    <w:p w14:paraId="547091C0" w14:textId="77777777" w:rsidR="009B4BD2" w:rsidRPr="00E91B41" w:rsidRDefault="00FF04B6" w:rsidP="00126E5F">
      <w:pPr>
        <w:pStyle w:val="ListParagraph"/>
        <w:numPr>
          <w:ilvl w:val="0"/>
          <w:numId w:val="5"/>
        </w:numPr>
        <w:shd w:val="clear" w:color="auto" w:fill="FFFFFF"/>
        <w:ind w:left="1134" w:hanging="567"/>
      </w:pPr>
      <w:r>
        <w:lastRenderedPageBreak/>
        <w:t>като има предвид, че премахването на насилието, основано на пола, включително насилието от страна на мъже срещу жени и момичета, е предпоставка за постигането на истинско равенство между половете;</w:t>
      </w:r>
    </w:p>
    <w:p w14:paraId="67C856DB" w14:textId="5158BDA7" w:rsidR="00FF4EE4" w:rsidRPr="00E91B41" w:rsidRDefault="00FF04B6" w:rsidP="00126E5F">
      <w:pPr>
        <w:pStyle w:val="ListParagraph"/>
        <w:numPr>
          <w:ilvl w:val="0"/>
          <w:numId w:val="5"/>
        </w:numPr>
        <w:shd w:val="clear" w:color="auto" w:fill="FFFFFF"/>
        <w:ind w:left="1134" w:hanging="567"/>
      </w:pPr>
      <w:r>
        <w:t>като има предвид, че 31 % от жените в Европа са били подложени на физическо насилие, 5 % са били изнасилени в държави от ЕС, около 50 жени губят живота си поради насилие, основано на пола, всяка седмица, а 43 % от жените са били подложени на някаква форма на психологическо насилие от интимния си партньор, при условие че се счита, че сигнализираните случаи на насилие все още са много под действителния им брой;</w:t>
      </w:r>
    </w:p>
    <w:p w14:paraId="00000019" w14:textId="749DBCAA" w:rsidR="00D50B28" w:rsidRPr="00E91B41" w:rsidRDefault="009C55EF" w:rsidP="00126E5F">
      <w:pPr>
        <w:pStyle w:val="ListParagraph"/>
        <w:numPr>
          <w:ilvl w:val="0"/>
          <w:numId w:val="5"/>
        </w:numPr>
        <w:shd w:val="clear" w:color="auto" w:fill="FFFFFF"/>
        <w:ind w:left="1134" w:hanging="567"/>
      </w:pPr>
      <w:r>
        <w:t>като има предвид, че насилието, основано на пола, както онлайн, така и офлайн, и липсата на достъп до подходяща закрила излагат на опасност редица основни права, включително правото на живот, правото на човешко достойнство, правото на физическа и психическа неприкосновеност, забраната на изтезанията и на нечовешкото или унизително отношение или наказание, забраната на робството и принудителния труд, правото на свобода и сигурност и правото на зачитане на личния и семейния живот;</w:t>
      </w:r>
    </w:p>
    <w:p w14:paraId="0000001A" w14:textId="67D82D6F" w:rsidR="00D50B28" w:rsidRPr="00E91B41" w:rsidRDefault="00FF04B6" w:rsidP="00126E5F">
      <w:pPr>
        <w:pStyle w:val="ListParagraph"/>
        <w:numPr>
          <w:ilvl w:val="0"/>
          <w:numId w:val="5"/>
        </w:numPr>
        <w:shd w:val="clear" w:color="auto" w:fill="FFFFFF"/>
        <w:ind w:left="1134" w:hanging="567"/>
      </w:pPr>
      <w:r>
        <w:t>като има предвид, че свързаните с пола убийства на жени и момичета следва да бъдат класифицирани като отделна категория престъпления (</w:t>
      </w:r>
      <w:proofErr w:type="spellStart"/>
      <w:r>
        <w:t>феминицид</w:t>
      </w:r>
      <w:proofErr w:type="spellEnd"/>
      <w:r>
        <w:t>), тъй като неутралният по отношение на пола термин „убийство“ пренебрегва реалностите на неравенството, потискането и систематичното насилие срещу жени;</w:t>
      </w:r>
    </w:p>
    <w:p w14:paraId="59209E5F" w14:textId="6F453B37" w:rsidR="006A48E1" w:rsidRPr="00E91B41" w:rsidRDefault="006A48E1" w:rsidP="00126E5F">
      <w:pPr>
        <w:pStyle w:val="ListParagraph"/>
        <w:numPr>
          <w:ilvl w:val="0"/>
          <w:numId w:val="5"/>
        </w:numPr>
        <w:shd w:val="clear" w:color="auto" w:fill="FFFFFF"/>
        <w:ind w:left="1134" w:hanging="567"/>
      </w:pPr>
      <w:r>
        <w:t>като има предвид, че насилието, основано на пола, следва да бъде определено като област на престъпност в ЕС съгласно Договорите; </w:t>
      </w:r>
    </w:p>
    <w:p w14:paraId="0000001B" w14:textId="0A596767" w:rsidR="00D50B28" w:rsidRPr="00E91B41" w:rsidRDefault="00FF04B6" w:rsidP="00126E5F">
      <w:pPr>
        <w:pStyle w:val="ListParagraph"/>
        <w:numPr>
          <w:ilvl w:val="0"/>
          <w:numId w:val="5"/>
        </w:numPr>
        <w:shd w:val="clear" w:color="auto" w:fill="FFFFFF"/>
        <w:ind w:left="1134" w:hanging="567"/>
      </w:pPr>
      <w:r>
        <w:t>като има предвид, че практиките на ранни и принудителни бракове и на генитално осакатяване на жени, предавани чрез традиции и култура, представляват нарушение на правата на свобода, човешко достойнство и физическа неприкосновеност;</w:t>
      </w:r>
    </w:p>
    <w:p w14:paraId="26A48D57" w14:textId="22E094DD" w:rsidR="00AE19A0" w:rsidRPr="00E91B41" w:rsidRDefault="00FF04B6" w:rsidP="00126E5F">
      <w:pPr>
        <w:numPr>
          <w:ilvl w:val="0"/>
          <w:numId w:val="5"/>
        </w:numPr>
        <w:ind w:left="1134" w:hanging="567"/>
      </w:pPr>
      <w:r>
        <w:t xml:space="preserve">като има предвид, че премахването на свързаните с пола стереотипи и спирането на репресивните практики, свързани с пола, чрез прогресивни образователни програми (като в това отношение ключова роля имат предучилищното, началното и средното образование) са от решаващо значение за пълното еманципиране на момичетата; </w:t>
      </w:r>
    </w:p>
    <w:p w14:paraId="0000001C" w14:textId="55D130C6" w:rsidR="00D50B28" w:rsidRPr="00E91B41" w:rsidRDefault="00FF04B6" w:rsidP="00126E5F">
      <w:pPr>
        <w:numPr>
          <w:ilvl w:val="0"/>
          <w:numId w:val="5"/>
        </w:numPr>
        <w:ind w:left="1134" w:hanging="567"/>
      </w:pPr>
      <w:r>
        <w:t xml:space="preserve">като има предвид, че наличието на всеобхватно възпитание на взаимоотношенията и сексуално възпитание, включително специализирани образователни програми за момчетата, е неразделна част от такива прогресивни учебни програми и играе основна роля в борбата срещу насилието, основано на пола, омразата към жените и свързаните с пола стереотипи; </w:t>
      </w:r>
    </w:p>
    <w:p w14:paraId="0000001D" w14:textId="020A28D6" w:rsidR="00D50B28" w:rsidRPr="00E91B41" w:rsidRDefault="00FF04B6" w:rsidP="00126E5F">
      <w:pPr>
        <w:numPr>
          <w:ilvl w:val="0"/>
          <w:numId w:val="5"/>
        </w:numPr>
        <w:ind w:left="1134" w:hanging="567"/>
      </w:pPr>
      <w:r>
        <w:t xml:space="preserve">като има предвид, че нулевата толерантност от страна на публичните органи към показването на женски изображения, които са дискриминиращи или свеждат ролята на жената до предмет, в рекламите на обществени места е от ключово значение за премахването на свързаните с пола стереотипи, водещи до насилие, основано на пола; </w:t>
      </w:r>
    </w:p>
    <w:p w14:paraId="0000001E" w14:textId="14FD27E0" w:rsidR="00D50B28" w:rsidRPr="00E91B41" w:rsidRDefault="009C55EF" w:rsidP="00126E5F">
      <w:pPr>
        <w:numPr>
          <w:ilvl w:val="0"/>
          <w:numId w:val="5"/>
        </w:numPr>
        <w:ind w:left="1134" w:hanging="567"/>
      </w:pPr>
      <w:r>
        <w:t>като има предвид, че интегрирането на принципа на равенство между половете и бюджетирането, съобразено с равенството между половете, са от ключово значение, за да се гарантира, че всички политики работят в полза на жените, и следователно тези политики следва да бъдат подложени на щателни оценки на въздействието върху равенството между половете, включително по време на кризи;</w:t>
      </w:r>
    </w:p>
    <w:p w14:paraId="0000001F" w14:textId="77777777" w:rsidR="00D50B28" w:rsidRPr="00E91B41" w:rsidRDefault="00D50B28" w:rsidP="00126E5F">
      <w:pPr>
        <w:rPr>
          <w:lang w:val="en-GB"/>
        </w:rPr>
      </w:pPr>
    </w:p>
    <w:p w14:paraId="00000020" w14:textId="554904D4" w:rsidR="00D50B28" w:rsidRPr="00E91B41" w:rsidRDefault="00FF04B6" w:rsidP="00126E5F">
      <w:r>
        <w:lastRenderedPageBreak/>
        <w:t>С оглед на гореизложеното Общинският/Градският/Регионалният съвет (ненужното се зачерква) на ______________________ (име на града/региона) се ангажира:</w:t>
      </w:r>
    </w:p>
    <w:p w14:paraId="00000021" w14:textId="77777777" w:rsidR="00D50B28" w:rsidRPr="00E91B41" w:rsidRDefault="00D50B28" w:rsidP="00126E5F"/>
    <w:p w14:paraId="00000022" w14:textId="67557E81" w:rsidR="00D50B28" w:rsidRPr="00E91B41" w:rsidRDefault="00FF04B6" w:rsidP="00126E5F">
      <w:pPr>
        <w:numPr>
          <w:ilvl w:val="0"/>
          <w:numId w:val="6"/>
        </w:numPr>
        <w:ind w:left="1134" w:hanging="567"/>
      </w:pPr>
      <w:r>
        <w:t>да обяви ______________________ (име на града/региона) за „безопасно място за жените“ и да се ангажира с публични политики, гарантиращи безопасността на жените, от една страна, и изрично наказващи всички форми на насилие, основано на пола, от друга, като гарантира пълноценното и равноправно участие на жените в целия процес;</w:t>
      </w:r>
    </w:p>
    <w:p w14:paraId="00000023" w14:textId="55E30BEE" w:rsidR="00D50B28" w:rsidRPr="00E91B41" w:rsidRDefault="00FF04B6" w:rsidP="00126E5F">
      <w:pPr>
        <w:numPr>
          <w:ilvl w:val="0"/>
          <w:numId w:val="6"/>
        </w:numPr>
        <w:ind w:left="1134" w:hanging="567"/>
      </w:pPr>
      <w:r>
        <w:t>да гарантира пряк и непрекъснат достъп до специализирани, сигурни и всеобхватни услуги за подкрепа на жертвите на насилие, основано на пола, включително домашно и сексуално насилие;</w:t>
      </w:r>
    </w:p>
    <w:p w14:paraId="09712771" w14:textId="733FCC4E" w:rsidR="00840DBA" w:rsidRPr="00E91B41" w:rsidRDefault="00FF04B6" w:rsidP="00126E5F">
      <w:pPr>
        <w:numPr>
          <w:ilvl w:val="0"/>
          <w:numId w:val="6"/>
        </w:numPr>
        <w:ind w:left="1134" w:hanging="567"/>
      </w:pPr>
      <w:r>
        <w:t>да гарантира своевременната реакция на службите, компетентни за недискриминационното регистриране и третиране на случаите на насилие, основано на пола, и да предвиди мерки за ефективна и незабавна защита на жертвите и техните деца;</w:t>
      </w:r>
    </w:p>
    <w:p w14:paraId="69D11FE1" w14:textId="718DC1F9" w:rsidR="00840DBA" w:rsidRPr="00E91B41" w:rsidRDefault="00840DBA" w:rsidP="00126E5F">
      <w:pPr>
        <w:numPr>
          <w:ilvl w:val="0"/>
          <w:numId w:val="6"/>
        </w:numPr>
        <w:ind w:left="1134" w:hanging="567"/>
      </w:pPr>
      <w:r>
        <w:t>да осигури обучение за повишаване на чувствителността към свързаните с пола аспекти за полицейските служители, публичните органи и персонала на специализираните приемни центрове, включително центрове за жени, жертви на насилие, основано на пола, отдавайки първостепенен приоритет на лицата, оказващи първа помощ;</w:t>
      </w:r>
    </w:p>
    <w:p w14:paraId="1370AFB7" w14:textId="77777777" w:rsidR="003B351E" w:rsidRPr="00E91B41" w:rsidRDefault="00FF04B6" w:rsidP="00126E5F">
      <w:pPr>
        <w:numPr>
          <w:ilvl w:val="0"/>
          <w:numId w:val="6"/>
        </w:numPr>
        <w:ind w:left="1134" w:hanging="567"/>
      </w:pPr>
      <w:r>
        <w:t>да събира административни данни относно насилието от страна на интимния партньор и свързаните с пола убийства на жени и момичета (</w:t>
      </w:r>
      <w:proofErr w:type="spellStart"/>
      <w:r>
        <w:t>феминициди</w:t>
      </w:r>
      <w:proofErr w:type="spellEnd"/>
      <w:r>
        <w:t>), с цел да допринесе за предотвратяването и борбата с тези явления;</w:t>
      </w:r>
    </w:p>
    <w:p w14:paraId="752338A8" w14:textId="77777777" w:rsidR="003B351E" w:rsidRPr="00E91B41" w:rsidRDefault="00FF04B6" w:rsidP="00126E5F">
      <w:pPr>
        <w:numPr>
          <w:ilvl w:val="0"/>
          <w:numId w:val="6"/>
        </w:numPr>
        <w:ind w:left="1134" w:hanging="567"/>
      </w:pPr>
      <w:r>
        <w:t xml:space="preserve">да прилага политика на нулева толерантност към </w:t>
      </w:r>
      <w:proofErr w:type="spellStart"/>
      <w:r>
        <w:t>сексистките</w:t>
      </w:r>
      <w:proofErr w:type="spellEnd"/>
      <w:r>
        <w:t xml:space="preserve"> реклами, включително на обществени места и в обществения транспорт, тъй като това насърчава вредни стереотипи, свързани с пола; </w:t>
      </w:r>
    </w:p>
    <w:p w14:paraId="315213B2" w14:textId="68241AAD" w:rsidR="003B351E" w:rsidRPr="00E91B41" w:rsidRDefault="00FF04B6" w:rsidP="00126E5F">
      <w:pPr>
        <w:numPr>
          <w:ilvl w:val="0"/>
          <w:numId w:val="6"/>
        </w:numPr>
        <w:ind w:left="1134" w:hanging="567"/>
      </w:pPr>
      <w:r>
        <w:t>да взема систематично предвид безопасността и потребностите на жените при вземането на решения относно бюджетните мерки, свързани с обществените услуги, като например общественото осветление, общественият транспорт или ресурсите в социалните служби, занимаващи се с жертви на насилие, основано на пола;</w:t>
      </w:r>
    </w:p>
    <w:p w14:paraId="3CCD35B5" w14:textId="64E5E95A" w:rsidR="00D7578C" w:rsidRPr="00E91B41" w:rsidRDefault="00D7578C" w:rsidP="00126E5F">
      <w:pPr>
        <w:numPr>
          <w:ilvl w:val="0"/>
          <w:numId w:val="6"/>
        </w:numPr>
        <w:ind w:left="1134" w:hanging="567"/>
      </w:pPr>
      <w:bookmarkStart w:id="0" w:name="_Hlk126162679"/>
      <w:r>
        <w:t>да организира образователни програми/обучения/презентации в училища и университети, съпътстващи програмите за възпитание на взаимоотношенията и сексуално възпитание, и да повишава осведомеността от ранна възраст относно въздействието на тормоза и насилието, основани на пола;</w:t>
      </w:r>
      <w:bookmarkEnd w:id="0"/>
    </w:p>
    <w:p w14:paraId="567CF1E6" w14:textId="77777777" w:rsidR="00D7578C" w:rsidRPr="00E91B41" w:rsidRDefault="00FF04B6" w:rsidP="00126E5F">
      <w:pPr>
        <w:numPr>
          <w:ilvl w:val="0"/>
          <w:numId w:val="6"/>
        </w:numPr>
        <w:ind w:left="1134" w:hanging="567"/>
      </w:pPr>
      <w:r>
        <w:t>да проявява бдителност и да прилага незабавни санкции в случаи на трафик на хора и практики, вредни за жените и момичетата (генитално осакатяване на жени, ранни и принудителни бракове, принудителна стерилизация);</w:t>
      </w:r>
    </w:p>
    <w:p w14:paraId="0BBC2CCE" w14:textId="77777777" w:rsidR="00D7578C" w:rsidRPr="00E91B41" w:rsidRDefault="00FF04B6" w:rsidP="00126E5F">
      <w:pPr>
        <w:numPr>
          <w:ilvl w:val="0"/>
          <w:numId w:val="6"/>
        </w:numPr>
        <w:ind w:left="1134" w:hanging="567"/>
      </w:pPr>
      <w:r>
        <w:t>да проявява бдителност и да прилага нулева толерантност към всички форми на кибернасилие, основано на пола;</w:t>
      </w:r>
    </w:p>
    <w:p w14:paraId="6A04C8ED" w14:textId="77777777" w:rsidR="00D7578C" w:rsidRPr="00E91B41" w:rsidRDefault="00155B5B" w:rsidP="00126E5F">
      <w:pPr>
        <w:numPr>
          <w:ilvl w:val="0"/>
          <w:numId w:val="6"/>
        </w:numPr>
        <w:ind w:left="1134" w:hanging="567"/>
      </w:pPr>
      <w:r>
        <w:t xml:space="preserve">да повишава обществената осведоменост относно насилието, основано на пола, чрез комуникационни кампании, насочени също така към информиране на жертвите за това къде и как да получат достъп до услуги за подкрепа. Кулминационната точка на тези дейности ще бъде свързана с Международния ден за премахване на насилието срещу жените (25 ноември); </w:t>
      </w:r>
    </w:p>
    <w:p w14:paraId="0000002D" w14:textId="1BA154B6" w:rsidR="00D50B28" w:rsidRPr="00CF1E0A" w:rsidRDefault="00FF04B6" w:rsidP="00126E5F">
      <w:pPr>
        <w:numPr>
          <w:ilvl w:val="0"/>
          <w:numId w:val="6"/>
        </w:numPr>
        <w:ind w:left="1134" w:hanging="567"/>
      </w:pPr>
      <w:r>
        <w:t xml:space="preserve">да дава пример с организацията и работата на местния/регионалния орган XXX. </w:t>
      </w:r>
    </w:p>
    <w:p w14:paraId="242C6266" w14:textId="4C1B334E"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01042E88"/>
    <w:lvl w:ilvl="0">
      <w:start w:val="1"/>
      <mc:AlternateContent>
        <mc:Choice Requires="w14">
          <w:numFmt w:val="custom" w:format="А, Й, К, ..."/>
        </mc:Choice>
        <mc:Fallback>
          <w:numFmt w:val="decimal"/>
        </mc:Fallback>
      </mc:AlternateContent>
      <w:lvlText w:val="%1."/>
      <w:lvlJc w:val="left"/>
      <w:pPr>
        <w:ind w:left="1353"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C297E"/>
    <w:rsid w:val="000D09BE"/>
    <w:rsid w:val="000D14A2"/>
    <w:rsid w:val="000E2371"/>
    <w:rsid w:val="000F7591"/>
    <w:rsid w:val="0010194E"/>
    <w:rsid w:val="00126E5F"/>
    <w:rsid w:val="00137B8F"/>
    <w:rsid w:val="00155B5B"/>
    <w:rsid w:val="00165FC7"/>
    <w:rsid w:val="001A5707"/>
    <w:rsid w:val="001F01E6"/>
    <w:rsid w:val="00236DF8"/>
    <w:rsid w:val="00260BFF"/>
    <w:rsid w:val="0028534E"/>
    <w:rsid w:val="002A262C"/>
    <w:rsid w:val="00321301"/>
    <w:rsid w:val="0032527B"/>
    <w:rsid w:val="00350448"/>
    <w:rsid w:val="0036345D"/>
    <w:rsid w:val="00367134"/>
    <w:rsid w:val="00383F5D"/>
    <w:rsid w:val="003B351E"/>
    <w:rsid w:val="003C5B7C"/>
    <w:rsid w:val="003D0AC1"/>
    <w:rsid w:val="003D59C7"/>
    <w:rsid w:val="003D6677"/>
    <w:rsid w:val="003F5D79"/>
    <w:rsid w:val="0043276B"/>
    <w:rsid w:val="0043707C"/>
    <w:rsid w:val="0044645C"/>
    <w:rsid w:val="00456376"/>
    <w:rsid w:val="00473D1F"/>
    <w:rsid w:val="00494A60"/>
    <w:rsid w:val="004B4A5C"/>
    <w:rsid w:val="004D6AFD"/>
    <w:rsid w:val="004F07E0"/>
    <w:rsid w:val="00527C39"/>
    <w:rsid w:val="005365B6"/>
    <w:rsid w:val="00537037"/>
    <w:rsid w:val="00570266"/>
    <w:rsid w:val="005F7C88"/>
    <w:rsid w:val="006110AD"/>
    <w:rsid w:val="00656BC1"/>
    <w:rsid w:val="0066557B"/>
    <w:rsid w:val="006A48E1"/>
    <w:rsid w:val="006D6E47"/>
    <w:rsid w:val="006E0600"/>
    <w:rsid w:val="00705B05"/>
    <w:rsid w:val="007750C5"/>
    <w:rsid w:val="0078512B"/>
    <w:rsid w:val="007C0121"/>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CC7"/>
    <w:rsid w:val="00CE5D47"/>
    <w:rsid w:val="00CF1E0A"/>
    <w:rsid w:val="00D10506"/>
    <w:rsid w:val="00D10CE6"/>
    <w:rsid w:val="00D4427A"/>
    <w:rsid w:val="00D46D93"/>
    <w:rsid w:val="00D50B28"/>
    <w:rsid w:val="00D7578C"/>
    <w:rsid w:val="00D86ED5"/>
    <w:rsid w:val="00D96D80"/>
    <w:rsid w:val="00DA29E4"/>
    <w:rsid w:val="00DB0DE3"/>
    <w:rsid w:val="00DE256A"/>
    <w:rsid w:val="00DE4ADA"/>
    <w:rsid w:val="00DE72A2"/>
    <w:rsid w:val="00DF5471"/>
    <w:rsid w:val="00E00A1A"/>
    <w:rsid w:val="00E3157C"/>
    <w:rsid w:val="00E41F11"/>
    <w:rsid w:val="00E43072"/>
    <w:rsid w:val="00E53773"/>
    <w:rsid w:val="00E75A4F"/>
    <w:rsid w:val="00E91B41"/>
    <w:rsid w:val="00EC0640"/>
    <w:rsid w:val="00F05277"/>
    <w:rsid w:val="00F15CCB"/>
    <w:rsid w:val="00F56348"/>
    <w:rsid w:val="00FA099C"/>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bg-BG"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bg-BG" w:eastAsia="en-US"/>
    </w:rPr>
  </w:style>
  <w:style w:type="character" w:customStyle="1" w:styleId="Heading2Char">
    <w:name w:val="Heading 2 Char"/>
    <w:basedOn w:val="DefaultParagraphFont"/>
    <w:link w:val="Heading2"/>
    <w:rsid w:val="000E2371"/>
    <w:rPr>
      <w:lang w:val="bg-BG" w:eastAsia="en-US"/>
    </w:rPr>
  </w:style>
  <w:style w:type="character" w:customStyle="1" w:styleId="Heading3Char">
    <w:name w:val="Heading 3 Char"/>
    <w:basedOn w:val="DefaultParagraphFont"/>
    <w:link w:val="Heading3"/>
    <w:rsid w:val="000E2371"/>
    <w:rPr>
      <w:lang w:val="bg-BG" w:eastAsia="en-US"/>
    </w:rPr>
  </w:style>
  <w:style w:type="character" w:customStyle="1" w:styleId="Heading4Char">
    <w:name w:val="Heading 4 Char"/>
    <w:basedOn w:val="DefaultParagraphFont"/>
    <w:link w:val="Heading4"/>
    <w:rsid w:val="000E2371"/>
    <w:rPr>
      <w:lang w:val="bg-BG" w:eastAsia="en-US"/>
    </w:rPr>
  </w:style>
  <w:style w:type="character" w:customStyle="1" w:styleId="Heading5Char">
    <w:name w:val="Heading 5 Char"/>
    <w:basedOn w:val="DefaultParagraphFont"/>
    <w:link w:val="Heading5"/>
    <w:rsid w:val="000E2371"/>
    <w:rPr>
      <w:lang w:val="bg-BG" w:eastAsia="en-US"/>
    </w:rPr>
  </w:style>
  <w:style w:type="character" w:customStyle="1" w:styleId="Heading6Char">
    <w:name w:val="Heading 6 Char"/>
    <w:basedOn w:val="DefaultParagraphFont"/>
    <w:link w:val="Heading6"/>
    <w:rsid w:val="000E2371"/>
    <w:rPr>
      <w:lang w:val="bg-BG" w:eastAsia="en-US"/>
    </w:rPr>
  </w:style>
  <w:style w:type="character" w:customStyle="1" w:styleId="Heading7Char">
    <w:name w:val="Heading 7 Char"/>
    <w:basedOn w:val="DefaultParagraphFont"/>
    <w:link w:val="Heading7"/>
    <w:rsid w:val="000E2371"/>
    <w:rPr>
      <w:lang w:val="bg-BG" w:eastAsia="en-US"/>
    </w:rPr>
  </w:style>
  <w:style w:type="character" w:customStyle="1" w:styleId="Heading8Char">
    <w:name w:val="Heading 8 Char"/>
    <w:basedOn w:val="DefaultParagraphFont"/>
    <w:link w:val="Heading8"/>
    <w:rsid w:val="000E2371"/>
    <w:rPr>
      <w:lang w:val="bg-BG" w:eastAsia="en-US"/>
    </w:rPr>
  </w:style>
  <w:style w:type="character" w:customStyle="1" w:styleId="Heading9Char">
    <w:name w:val="Heading 9 Char"/>
    <w:basedOn w:val="DefaultParagraphFont"/>
    <w:link w:val="Heading9"/>
    <w:rsid w:val="000E2371"/>
    <w:rPr>
      <w:lang w:val="bg-BG"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bg-BG"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bg-BG"/>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bg-BG"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bg-B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PWMHTDDKQ3QZ-1287546590-1397</_dlc_DocId>
    <_dlc_DocIdUrl xmlns="eff9f743-c5e6-45b1-888b-0c3422c38b02">
      <Url>http://dm2016/cor/2023/_layouts/15/DocIdRedir.aspx?ID=PWMHTDDKQ3QZ-1287546590-1397</Url>
      <Description>PWMHTDDKQ3QZ-1287546590-1397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Ilieva Albena</DisplayName>
        <AccountId>1690</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E24BA3-AF1C-47C4-B31E-938DB7448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E5E5D-491C-415C-BF16-151778C2DA66}">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3.xml><?xml version="1.0" encoding="utf-8"?>
<ds:datastoreItem xmlns:ds="http://schemas.openxmlformats.org/officeDocument/2006/customXml" ds:itemID="{E04EE24A-A4E1-4520-AA49-7347359DA358}">
  <ds:schemaRefs>
    <ds:schemaRef ds:uri="http://schemas.microsoft.com/sharepoint/v3/contenttype/forms"/>
  </ds:schemaRefs>
</ds:datastoreItem>
</file>

<file path=customXml/itemProps4.xml><?xml version="1.0" encoding="utf-8"?>
<ds:datastoreItem xmlns:ds="http://schemas.openxmlformats.org/officeDocument/2006/customXml" ds:itemID="{38474CA9-D592-466A-82D0-F0F358496D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1350</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Актуализирана резолюция - Безопасно място за жените</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8</cp:revision>
  <dcterms:created xsi:type="dcterms:W3CDTF">2023-02-06T10:24:00Z</dcterms:created>
  <dcterms:modified xsi:type="dcterms:W3CDTF">2023-02-18T15:37:00Z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b648c113-85b7-4cde-a874-85a7a36b6b13</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EN|f2175f21-25d7-44a3-96da-d6a61b075e1b;NL|55c6556c-b4f4-441d-9acf-c498d4f838bd;SV|c2ed69e7-a339-43d7-8f22-d93680a92aa0</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10;#SV|c2ed69e7-a339-43d7-8f22-d93680a92aa0;#4;#EN|f2175f21-25d7-44a3-96da-d6a61b075e1b;#7;#Final|ea5e6674-7b27-4bac-b091-73adbb394efe;#5;#Unrestricted|826e22d7-d029-4ec0-a450-0c28ff673572;#72;#DECL|3e2492ed-4ef9-4eb0-bb74-05f60f74f0a3;#20;#NL|55c6556c-b4f4-441d-9acf-c498d4f838bd;#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28;#BG|1a1b3951-7821-4e6a-85f5-5673fc08bd2c</vt:lpwstr>
  </property>
  <property fmtid="{D5CDD505-2E9C-101B-9397-08002B2CF9AE}" pid="35" name="_docset_NoMedatataSyncRequired">
    <vt:lpwstr>False</vt:lpwstr>
  </property>
</Properties>
</file>