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F830A6">
      <w:pPr>
        <w:rPr>
          <w:i/>
        </w:rPr>
      </w:pPr>
      <w:r>
        <w:rPr>
          <w:i/>
        </w:rPr>
        <w:t xml:space="preserve">Ordlyden af nedenstående model for en resolution kan af interesserede kommuner, byer og regioner tilpasses de særlige forhold i deres område. </w:t>
      </w:r>
    </w:p>
    <w:p w14:paraId="00000002" w14:textId="5C7508A5" w:rsidR="00D50B28" w:rsidRPr="00E91B41" w:rsidRDefault="00D50B28" w:rsidP="00F830A6">
      <w:pPr>
        <w:rPr>
          <w:b/>
          <w:i/>
        </w:rPr>
      </w:pPr>
    </w:p>
    <w:p w14:paraId="00000003" w14:textId="79A883B8" w:rsidR="00D50B28" w:rsidRPr="00E91B41" w:rsidRDefault="00FF04B6" w:rsidP="00F830A6">
      <w:pPr>
        <w:rPr>
          <w:b/>
        </w:rPr>
      </w:pPr>
      <w:r>
        <w:rPr>
          <w:b/>
        </w:rPr>
        <w:t>Model for kommunalrådets/byrådets/regionalrådets resolution OM ERKLÆRING AF ______________________ (byens/regionens navn) som et "sikkert sted for kvinder"</w:t>
      </w:r>
    </w:p>
    <w:p w14:paraId="00000004" w14:textId="77777777" w:rsidR="00D50B28" w:rsidRPr="00E91B41" w:rsidRDefault="00D50B28" w:rsidP="00F830A6">
      <w:pPr>
        <w:rPr>
          <w:lang w:val="en-GB"/>
        </w:rPr>
      </w:pPr>
    </w:p>
    <w:p w14:paraId="00000005" w14:textId="6D2669EA" w:rsidR="00D50B28" w:rsidRPr="00E91B41" w:rsidRDefault="00FF04B6" w:rsidP="00F830A6">
      <w:r>
        <w:t>Kommunalrådet/Byrådet/Regionalrådet (det ikkerelevante overstreges) i ______________________ (byens/regionens navn) har –</w:t>
      </w:r>
    </w:p>
    <w:p w14:paraId="00000006" w14:textId="77777777" w:rsidR="00D50B28" w:rsidRPr="00E91B41" w:rsidRDefault="00D50B28" w:rsidP="00F830A6">
      <w:pPr>
        <w:rPr>
          <w:lang w:val="en-GB"/>
        </w:rPr>
      </w:pPr>
    </w:p>
    <w:p w14:paraId="00000007" w14:textId="77777777" w:rsidR="00D50B28" w:rsidRPr="00E91B41" w:rsidRDefault="00FF04B6" w:rsidP="00F830A6">
      <w:pPr>
        <w:pStyle w:val="ListParagraph"/>
        <w:numPr>
          <w:ilvl w:val="0"/>
          <w:numId w:val="11"/>
        </w:numPr>
        <w:tabs>
          <w:tab w:val="clear" w:pos="0"/>
        </w:tabs>
        <w:ind w:left="1134" w:hanging="567"/>
        <w:rPr>
          <w:color w:val="000000" w:themeColor="text1"/>
        </w:rPr>
      </w:pPr>
      <w:r>
        <w:rPr>
          <w:color w:val="000000" w:themeColor="text1"/>
        </w:rPr>
        <w:t>under henvisning til verdenserklæringen om menneskerettigheder</w:t>
      </w:r>
    </w:p>
    <w:p w14:paraId="00000008" w14:textId="77777777" w:rsidR="00D50B28" w:rsidRPr="00E91B41" w:rsidRDefault="00FF04B6" w:rsidP="00F830A6">
      <w:pPr>
        <w:pStyle w:val="ListParagraph"/>
        <w:numPr>
          <w:ilvl w:val="0"/>
          <w:numId w:val="11"/>
        </w:numPr>
        <w:tabs>
          <w:tab w:val="clear" w:pos="0"/>
        </w:tabs>
        <w:ind w:left="1134" w:hanging="567"/>
        <w:rPr>
          <w:color w:val="000000" w:themeColor="text1"/>
        </w:rPr>
      </w:pPr>
      <w:r>
        <w:rPr>
          <w:color w:val="000000" w:themeColor="text1"/>
        </w:rPr>
        <w:t>under henvisning til artikel 2 og 3 i traktaten om Den Europæiske Union (TEU)</w:t>
      </w:r>
    </w:p>
    <w:p w14:paraId="00000009" w14:textId="77777777" w:rsidR="00D50B28" w:rsidRPr="00E91B41" w:rsidRDefault="00FF04B6" w:rsidP="00F830A6">
      <w:pPr>
        <w:pStyle w:val="ListParagraph"/>
        <w:numPr>
          <w:ilvl w:val="0"/>
          <w:numId w:val="11"/>
        </w:numPr>
        <w:tabs>
          <w:tab w:val="clear" w:pos="0"/>
        </w:tabs>
        <w:ind w:left="1134" w:hanging="567"/>
        <w:rPr>
          <w:color w:val="000000" w:themeColor="text1"/>
        </w:rPr>
      </w:pPr>
      <w:r>
        <w:rPr>
          <w:color w:val="000000" w:themeColor="text1"/>
        </w:rPr>
        <w:t>under henvisning til Den Europæiske Unions charter om grundlæggende rettigheder</w:t>
      </w:r>
    </w:p>
    <w:p w14:paraId="0000000A" w14:textId="77777777" w:rsidR="00D50B28" w:rsidRPr="00E91B41" w:rsidRDefault="00FF04B6" w:rsidP="00F830A6">
      <w:pPr>
        <w:pStyle w:val="ListParagraph"/>
        <w:numPr>
          <w:ilvl w:val="0"/>
          <w:numId w:val="11"/>
        </w:numPr>
        <w:tabs>
          <w:tab w:val="clear" w:pos="0"/>
        </w:tabs>
        <w:ind w:left="1134" w:hanging="567"/>
        <w:rPr>
          <w:color w:val="000000" w:themeColor="text1"/>
        </w:rPr>
      </w:pPr>
      <w:r>
        <w:rPr>
          <w:color w:val="000000" w:themeColor="text1"/>
        </w:rPr>
        <w:t xml:space="preserve">under henvisning til den europæiske menneskerettighedskonvention og til Den Europæiske Menneskerettighedsdomstols retspraksis på området </w:t>
      </w:r>
    </w:p>
    <w:p w14:paraId="0000000B" w14:textId="77777777" w:rsidR="00D50B28" w:rsidRPr="00E91B41" w:rsidRDefault="00FF04B6" w:rsidP="00F830A6">
      <w:pPr>
        <w:pStyle w:val="ListParagraph"/>
        <w:numPr>
          <w:ilvl w:val="0"/>
          <w:numId w:val="11"/>
        </w:numPr>
        <w:tabs>
          <w:tab w:val="clear" w:pos="0"/>
        </w:tabs>
        <w:ind w:left="1134" w:hanging="567"/>
        <w:rPr>
          <w:color w:val="000000" w:themeColor="text1"/>
        </w:rPr>
      </w:pPr>
      <w:r>
        <w:rPr>
          <w:color w:val="000000" w:themeColor="text1"/>
        </w:rPr>
        <w:t>under henvisning til Europarådets konvention til forebyggelse og bekæmpelse af vold mod kvinder og vold i hjemmet (Istanbulkonventionen)</w:t>
      </w:r>
    </w:p>
    <w:p w14:paraId="0000000C" w14:textId="77777777" w:rsidR="00D50B28" w:rsidRPr="00E91B41" w:rsidRDefault="00FF04B6" w:rsidP="00F830A6">
      <w:pPr>
        <w:pStyle w:val="ListParagraph"/>
        <w:numPr>
          <w:ilvl w:val="0"/>
          <w:numId w:val="11"/>
        </w:numPr>
        <w:tabs>
          <w:tab w:val="clear" w:pos="0"/>
        </w:tabs>
        <w:ind w:left="1134" w:hanging="567"/>
        <w:rPr>
          <w:color w:val="000000" w:themeColor="text1"/>
        </w:rPr>
      </w:pPr>
      <w:r>
        <w:rPr>
          <w:color w:val="000000" w:themeColor="text1"/>
        </w:rPr>
        <w:t>under henvisning til Kommissionens forslag til direktiv af 8. marts 2022 om bekæmpelse af vold mod kvinder og vold i hjemmet</w:t>
      </w:r>
    </w:p>
    <w:p w14:paraId="0000000D" w14:textId="2F789E2C" w:rsidR="00D50B28" w:rsidRPr="00E91B41" w:rsidRDefault="00FF04B6" w:rsidP="00F830A6">
      <w:pPr>
        <w:pStyle w:val="NormalWeb"/>
        <w:numPr>
          <w:ilvl w:val="0"/>
          <w:numId w:val="11"/>
        </w:numPr>
        <w:shd w:val="clear" w:color="auto" w:fill="FFFFFF"/>
        <w:tabs>
          <w:tab w:val="clear" w:pos="0"/>
        </w:tabs>
        <w:spacing w:before="0" w:beforeAutospacing="0" w:after="0" w:afterAutospacing="0" w:line="288" w:lineRule="auto"/>
        <w:ind w:left="1134" w:hanging="567"/>
        <w:jc w:val="both"/>
        <w:rPr>
          <w:color w:val="000000" w:themeColor="text1"/>
          <w:sz w:val="22"/>
          <w:szCs w:val="22"/>
        </w:rPr>
      </w:pPr>
      <w:r>
        <w:rPr>
          <w:color w:val="000000" w:themeColor="text1"/>
          <w:sz w:val="22"/>
        </w:rPr>
        <w:t>under henvisning til Kommissionens meddelelse af 5. marts 2020 med titlen "En Union med ligestilling: strategi for ligestilling mellem mænd og kvinder 2020-2025"</w:t>
      </w:r>
    </w:p>
    <w:p w14:paraId="0000000E" w14:textId="77777777" w:rsidR="00D50B28" w:rsidRPr="00E91B41" w:rsidRDefault="00FF04B6" w:rsidP="00F830A6">
      <w:pPr>
        <w:pStyle w:val="ListParagraph"/>
        <w:numPr>
          <w:ilvl w:val="0"/>
          <w:numId w:val="11"/>
        </w:numPr>
        <w:tabs>
          <w:tab w:val="clear" w:pos="0"/>
        </w:tabs>
        <w:ind w:left="1134" w:hanging="567"/>
      </w:pPr>
      <w:r>
        <w:t>under henvisning til Europa-Parlamentets beslutning af 16. september 2021 med henstillinger til Kommissionen om at identificere kønsbaseret vold som et nyt kriminalitetsområde som omhandlet i artikel 83, stk. 1, i TEUF</w:t>
      </w:r>
    </w:p>
    <w:p w14:paraId="0000000F" w14:textId="6FB53ADD" w:rsidR="00D50B28" w:rsidRPr="00CF1E0A" w:rsidRDefault="00FF04B6" w:rsidP="00F830A6">
      <w:pPr>
        <w:pStyle w:val="ListParagraph"/>
        <w:numPr>
          <w:ilvl w:val="0"/>
          <w:numId w:val="11"/>
        </w:numPr>
        <w:tabs>
          <w:tab w:val="clear" w:pos="0"/>
        </w:tabs>
        <w:ind w:left="1134" w:hanging="567"/>
      </w:pPr>
      <w:r>
        <w:t>under henvisning til Europa-Parlamentets beslutning af 12. februar 2020 om en EU-strategi for udryddelse af kvindelig kønslemlæstelse i hele verden</w:t>
      </w:r>
    </w:p>
    <w:p w14:paraId="00000010" w14:textId="77777777" w:rsidR="00D50B28" w:rsidRPr="00E91B41" w:rsidRDefault="00FF04B6" w:rsidP="00F830A6">
      <w:pPr>
        <w:pStyle w:val="ListParagraph"/>
        <w:numPr>
          <w:ilvl w:val="0"/>
          <w:numId w:val="11"/>
        </w:numPr>
        <w:tabs>
          <w:tab w:val="clear" w:pos="0"/>
        </w:tabs>
        <w:ind w:left="1134" w:hanging="567"/>
      </w:pPr>
      <w:r>
        <w:t>under henvisning til FN-konventionen om afskaffelse af alle former for diskrimination imod kvinder (CEDAW)</w:t>
      </w:r>
    </w:p>
    <w:p w14:paraId="00000011" w14:textId="4158C624" w:rsidR="00D50B28" w:rsidRPr="00E91B41" w:rsidRDefault="00FF04B6" w:rsidP="00F830A6">
      <w:pPr>
        <w:pStyle w:val="ListParagraph"/>
        <w:numPr>
          <w:ilvl w:val="0"/>
          <w:numId w:val="11"/>
        </w:numPr>
        <w:tabs>
          <w:tab w:val="clear" w:pos="0"/>
        </w:tabs>
        <w:ind w:left="1134" w:hanging="567"/>
      </w:pPr>
      <w:r>
        <w:t>under henvisning til Den Internationale Arbejdsorganisations konvention nr. 190 om afskaffelse af vold og chikane i arbejdslivet</w:t>
      </w:r>
    </w:p>
    <w:p w14:paraId="00000012" w14:textId="42155ADE" w:rsidR="00D50B28" w:rsidRPr="00CF1E0A" w:rsidRDefault="00FF04B6" w:rsidP="00F830A6">
      <w:pPr>
        <w:pStyle w:val="ListParagraph"/>
        <w:numPr>
          <w:ilvl w:val="0"/>
          <w:numId w:val="11"/>
        </w:numPr>
        <w:tabs>
          <w:tab w:val="clear" w:pos="0"/>
        </w:tabs>
        <w:ind w:left="1134" w:hanging="567"/>
      </w:pPr>
      <w:r>
        <w:t>under henvisning til FN's verdensmål for bæredygtig udvikling nr. 5 "Ligestilling mellem kønnene"</w:t>
      </w:r>
    </w:p>
    <w:p w14:paraId="00000013" w14:textId="2F63E25F" w:rsidR="00D50B28" w:rsidRPr="00E91B41" w:rsidRDefault="00FF04B6" w:rsidP="00F830A6">
      <w:pPr>
        <w:pStyle w:val="ListParagraph"/>
        <w:numPr>
          <w:ilvl w:val="0"/>
          <w:numId w:val="11"/>
        </w:numPr>
        <w:tabs>
          <w:tab w:val="clear" w:pos="0"/>
        </w:tabs>
        <w:ind w:left="1134" w:hanging="567"/>
      </w:pPr>
      <w:r>
        <w:t xml:space="preserve">under henvisning til Europa-Parlamentets beslutning af 14. december 2021 med henstillinger til Kommissionen om at bekæmpe kønsbaseret </w:t>
      </w:r>
      <w:proofErr w:type="spellStart"/>
      <w:r>
        <w:t>cybervold</w:t>
      </w:r>
      <w:proofErr w:type="spellEnd"/>
    </w:p>
    <w:p w14:paraId="19B3B425" w14:textId="213F096D" w:rsidR="0088414D" w:rsidRPr="00E91B41" w:rsidRDefault="0088414D" w:rsidP="00F830A6">
      <w:pPr>
        <w:pStyle w:val="ListParagraph"/>
        <w:numPr>
          <w:ilvl w:val="0"/>
          <w:numId w:val="11"/>
        </w:numPr>
        <w:tabs>
          <w:tab w:val="clear" w:pos="0"/>
        </w:tabs>
        <w:ind w:left="1134" w:hanging="567"/>
      </w:pPr>
      <w:r>
        <w:t>under henvisning til Valencias regionalråds resolution om erklæring af regionen som "et sikkert sted for kvinder", og ud fra følgende betragtninger:</w:t>
      </w:r>
    </w:p>
    <w:p w14:paraId="00000014" w14:textId="77777777" w:rsidR="00D50B28" w:rsidRPr="00E91B41" w:rsidRDefault="00D50B28" w:rsidP="00F830A6"/>
    <w:p w14:paraId="00000015" w14:textId="77777777" w:rsidR="00D50B28" w:rsidRPr="00E91B41" w:rsidRDefault="00FF04B6" w:rsidP="00F830A6">
      <w:pPr>
        <w:pStyle w:val="ListParagraph"/>
        <w:numPr>
          <w:ilvl w:val="0"/>
          <w:numId w:val="5"/>
        </w:numPr>
        <w:shd w:val="clear" w:color="auto" w:fill="FFFFFF"/>
        <w:ind w:left="1134" w:hanging="567"/>
      </w:pPr>
      <w:r>
        <w:t xml:space="preserve">Ligestilling mellem kvinder og mænd er en kerneværdi i EU og en grundlæggende rettighed, der er nedfældet i traktaterne og Den Europæiske Unions charter om grundlæggende rettigheder. </w:t>
      </w:r>
    </w:p>
    <w:p w14:paraId="00000016" w14:textId="77777777" w:rsidR="00D50B28" w:rsidRPr="00E91B41" w:rsidRDefault="00FF04B6" w:rsidP="00F830A6">
      <w:pPr>
        <w:pStyle w:val="ListParagraph"/>
        <w:numPr>
          <w:ilvl w:val="0"/>
          <w:numId w:val="5"/>
        </w:numPr>
        <w:shd w:val="clear" w:color="auto" w:fill="FFFFFF"/>
        <w:ind w:left="1134" w:hanging="567"/>
      </w:pPr>
      <w:r>
        <w:t>Bekæmpelse af kønsbaseret vold i EU er et delt ansvar, der kræver en fælles indsats og handling på alle forvaltningsniveauer, og især af de lokale og regionale myndigheder, som spiller en vigtig rolle i den henseende, idet de er tættest på borgerne i lokalsamfundene.</w:t>
      </w:r>
    </w:p>
    <w:p w14:paraId="547091C0" w14:textId="77777777" w:rsidR="009B4BD2" w:rsidRPr="00E91B41" w:rsidRDefault="00FF04B6" w:rsidP="00F830A6">
      <w:pPr>
        <w:pStyle w:val="ListParagraph"/>
        <w:numPr>
          <w:ilvl w:val="0"/>
          <w:numId w:val="5"/>
        </w:numPr>
        <w:shd w:val="clear" w:color="auto" w:fill="FFFFFF"/>
        <w:ind w:left="1134" w:hanging="567"/>
      </w:pPr>
      <w:r>
        <w:t>Udryddelse af kønsbaseret vold, herunder vold begået af mænd mod kvinder og piger, er en forudsætning for at opnå reel ligestilling mellem kønnene.</w:t>
      </w:r>
    </w:p>
    <w:p w14:paraId="67C856DB" w14:textId="5158BDA7" w:rsidR="00FF4EE4" w:rsidRPr="00E91B41" w:rsidRDefault="00FF04B6" w:rsidP="00F830A6">
      <w:pPr>
        <w:pStyle w:val="ListParagraph"/>
        <w:numPr>
          <w:ilvl w:val="0"/>
          <w:numId w:val="5"/>
        </w:numPr>
        <w:shd w:val="clear" w:color="auto" w:fill="FFFFFF"/>
        <w:ind w:left="1134" w:hanging="567"/>
      </w:pPr>
      <w:r>
        <w:lastRenderedPageBreak/>
        <w:t>31 % af kvinderne i EU har været udsat for fysisk vold, 5 % af kvinderne i EU's medlemsstater er blevet voldtaget, ca. 50 kvinder mister hver uge livet som følge af kønsbaseret vold, og 43 % af kvinderne har været udsat for en eller anden form for psykisk vold begået af en partner, og alligevel anslås det, at et stort antal tilfælde af vold stadig ikke anmeldes.</w:t>
      </w:r>
    </w:p>
    <w:p w14:paraId="00000019" w14:textId="749DBCAA" w:rsidR="00D50B28" w:rsidRPr="00E91B41" w:rsidRDefault="009C55EF" w:rsidP="00F830A6">
      <w:pPr>
        <w:pStyle w:val="ListParagraph"/>
        <w:numPr>
          <w:ilvl w:val="0"/>
          <w:numId w:val="5"/>
        </w:numPr>
        <w:shd w:val="clear" w:color="auto" w:fill="FFFFFF"/>
        <w:ind w:left="1134" w:hanging="567"/>
      </w:pPr>
      <w:r>
        <w:t>Kønsbaseret vold – både online og offline – og manglende adgang til passende beskyttelse udgør en trussel mod en række grundlæggende rettigheder, herunder retten til livet, retten til menneskelig værdighed, retten til fysisk og mental integritet, forbuddet mod tortur og umenneskelig eller nedværdigende behandling eller straf, forbuddet mod slaveri og tvangsarbejde, retten til frihed og sikkerhed samt retten til respekt for privatliv og familieliv.</w:t>
      </w:r>
    </w:p>
    <w:p w14:paraId="0000001A" w14:textId="67D82D6F" w:rsidR="00D50B28" w:rsidRPr="00E91B41" w:rsidRDefault="00FF04B6" w:rsidP="00F830A6">
      <w:pPr>
        <w:pStyle w:val="ListParagraph"/>
        <w:numPr>
          <w:ilvl w:val="0"/>
          <w:numId w:val="5"/>
        </w:numPr>
        <w:shd w:val="clear" w:color="auto" w:fill="FFFFFF"/>
        <w:ind w:left="1134" w:hanging="567"/>
      </w:pPr>
      <w:r>
        <w:t>Kønsrelaterede drab på kvinder og piger (kvindedrab) bør udgøre en særskilt kategori af forbrydelser, idet der i det kønsneutrale begreb "drab" ikke tages hensyn til forhold som ulighed, undertrykkelse og systematisk vold mod kvinder.</w:t>
      </w:r>
    </w:p>
    <w:p w14:paraId="59209E5F" w14:textId="6F453B37" w:rsidR="006A48E1" w:rsidRPr="00E91B41" w:rsidRDefault="006A48E1" w:rsidP="00F830A6">
      <w:pPr>
        <w:pStyle w:val="ListParagraph"/>
        <w:numPr>
          <w:ilvl w:val="0"/>
          <w:numId w:val="5"/>
        </w:numPr>
        <w:shd w:val="clear" w:color="auto" w:fill="FFFFFF"/>
        <w:ind w:left="1134" w:hanging="567"/>
      </w:pPr>
      <w:r>
        <w:t>Kønsbaseret vold bør identificeres som et kriminalitetsområde i EU i henhold til traktaterne. </w:t>
      </w:r>
    </w:p>
    <w:p w14:paraId="0000001B" w14:textId="0A596767" w:rsidR="00D50B28" w:rsidRPr="00E91B41" w:rsidRDefault="00FF04B6" w:rsidP="00F830A6">
      <w:pPr>
        <w:pStyle w:val="ListParagraph"/>
        <w:numPr>
          <w:ilvl w:val="0"/>
          <w:numId w:val="5"/>
        </w:numPr>
        <w:shd w:val="clear" w:color="auto" w:fill="FFFFFF"/>
        <w:ind w:left="1134" w:hanging="567"/>
      </w:pPr>
      <w:r>
        <w:t>Praksis med tidlige ægteskaber og tvangsægteskaber samt kvindelig kønslemlæstelse, der videreføres gennem traditioner og kultur, udgør en krænkelse af retten til frihed, menneskelig værdighed og fysisk integritet.</w:t>
      </w:r>
    </w:p>
    <w:p w14:paraId="26A48D57" w14:textId="22E094DD" w:rsidR="00AE19A0" w:rsidRPr="00E91B41" w:rsidRDefault="00FF04B6" w:rsidP="00F830A6">
      <w:pPr>
        <w:numPr>
          <w:ilvl w:val="0"/>
          <w:numId w:val="5"/>
        </w:numPr>
        <w:ind w:left="1134" w:hanging="567"/>
      </w:pPr>
      <w:r>
        <w:t xml:space="preserve">Udryddelse af kønsstereotyper og standsning af undertrykkende kønspraksis ved hjælp af progressive undervisningsplaner – hvor førskoleundervisning og grundskole- og ungdomsuddannelser spiller en central rolle – har afgørende betydning for pigers fulde </w:t>
      </w:r>
      <w:proofErr w:type="spellStart"/>
      <w:r>
        <w:t>myndiggørelse</w:t>
      </w:r>
      <w:proofErr w:type="spellEnd"/>
      <w:r>
        <w:t xml:space="preserve">; </w:t>
      </w:r>
    </w:p>
    <w:p w14:paraId="0000001C" w14:textId="55D130C6" w:rsidR="00D50B28" w:rsidRPr="00E91B41" w:rsidRDefault="00FF04B6" w:rsidP="00F830A6">
      <w:pPr>
        <w:numPr>
          <w:ilvl w:val="0"/>
          <w:numId w:val="5"/>
        </w:numPr>
        <w:ind w:left="1134" w:hanging="567"/>
      </w:pPr>
      <w:r>
        <w:t xml:space="preserve">Omfattende samlivs- og seksualundervisning, herunder specialiserede undervisningsprogrammer for drenge, er en integreret del af progressive undervisningsplaner og spiller en vigtig rolle i bekæmpelsen af kønsbaseret vold, kvindehad og kønsstereotyper. </w:t>
      </w:r>
    </w:p>
    <w:p w14:paraId="0000001D" w14:textId="020A28D6" w:rsidR="00D50B28" w:rsidRPr="00E91B41" w:rsidRDefault="00FF04B6" w:rsidP="00F830A6">
      <w:pPr>
        <w:numPr>
          <w:ilvl w:val="0"/>
          <w:numId w:val="5"/>
        </w:numPr>
        <w:ind w:left="1134" w:hanging="567"/>
      </w:pPr>
      <w:r>
        <w:t xml:space="preserve">De offentlige myndigheders nultolerance over for kvindediskriminerende billeder og billeder, hvor kvinder reduceres til objekter, i det offentlige rum er yderst vigtig for at udrydde kønsstereotyper, der kan føre til kønsbaseret vold. </w:t>
      </w:r>
    </w:p>
    <w:p w14:paraId="0000001E" w14:textId="14FD27E0" w:rsidR="00D50B28" w:rsidRPr="00E91B41" w:rsidRDefault="009C55EF" w:rsidP="00F830A6">
      <w:pPr>
        <w:numPr>
          <w:ilvl w:val="0"/>
          <w:numId w:val="5"/>
        </w:numPr>
        <w:ind w:left="1134" w:hanging="567"/>
      </w:pPr>
      <w:r>
        <w:t>Integration af kønsaspektet og kønsbudgettering er afgørende for at sikre, at der tages hensyn til kvinder i alle politikker, og politikker bør derfor underkastes strenge kønsspecifikke konsekvensanalyser, også i krisetider –</w:t>
      </w:r>
    </w:p>
    <w:p w14:paraId="0000001F" w14:textId="77777777" w:rsidR="00D50B28" w:rsidRPr="00E91B41" w:rsidRDefault="00D50B28" w:rsidP="00F830A6">
      <w:pPr>
        <w:rPr>
          <w:lang w:val="en-GB"/>
        </w:rPr>
      </w:pPr>
    </w:p>
    <w:p w14:paraId="00000020" w14:textId="554904D4" w:rsidR="00D50B28" w:rsidRPr="00E91B41" w:rsidRDefault="00FF04B6" w:rsidP="00F830A6">
      <w:r>
        <w:t>besluttet</w:t>
      </w:r>
    </w:p>
    <w:p w14:paraId="00000021" w14:textId="77777777" w:rsidR="00D50B28" w:rsidRPr="00E91B41" w:rsidRDefault="00D50B28" w:rsidP="00F830A6"/>
    <w:p w14:paraId="00000022" w14:textId="67557E81" w:rsidR="00D50B28" w:rsidRPr="00E91B41" w:rsidRDefault="00FF04B6" w:rsidP="00F830A6">
      <w:pPr>
        <w:numPr>
          <w:ilvl w:val="0"/>
          <w:numId w:val="6"/>
        </w:numPr>
        <w:ind w:left="1134" w:hanging="567"/>
      </w:pPr>
      <w:r>
        <w:t>at erklære ______________________ (navnet på byen/regionen) som et sikkert sted for kvinder og forpligte sig til at føre en offentlig politik, der på den ene side garanterer kvinders sikkerhed og på den anden side udtrykkeligt straffer alle former for kønsbaseret vold, idet der sikres fuld og ligelig inddragelse af kvinder i hele processen</w:t>
      </w:r>
    </w:p>
    <w:p w14:paraId="00000023" w14:textId="55E30BEE" w:rsidR="00D50B28" w:rsidRPr="00E91B41" w:rsidRDefault="00FF04B6" w:rsidP="00F830A6">
      <w:pPr>
        <w:numPr>
          <w:ilvl w:val="0"/>
          <w:numId w:val="6"/>
        </w:numPr>
        <w:ind w:left="1134" w:hanging="567"/>
      </w:pPr>
      <w:r>
        <w:t>at sikre direkte og uafbrudt adgang til specialiserede, sikre og omfattende støttetjenester til ofre for kønsbaseret vold, herunder vold i hjemmet og seksuel vold</w:t>
      </w:r>
    </w:p>
    <w:p w14:paraId="09712771" w14:textId="733FCC4E" w:rsidR="00840DBA" w:rsidRPr="00E91B41" w:rsidRDefault="00FF04B6" w:rsidP="00F830A6">
      <w:pPr>
        <w:numPr>
          <w:ilvl w:val="0"/>
          <w:numId w:val="6"/>
        </w:numPr>
        <w:ind w:left="1134" w:hanging="567"/>
      </w:pPr>
      <w:r>
        <w:t>at sikre, at de tjenester, der er ansvarlige for på en ikkediskriminerende måde at registrere og håndtere kønsbaserede voldshændelser, reagerer hurtigt, samt at træffe foranstaltninger for effektivt og øjeblikkeligt at beskytte ofrene og deres børn</w:t>
      </w:r>
    </w:p>
    <w:p w14:paraId="69D11FE1" w14:textId="718DC1F9" w:rsidR="00840DBA" w:rsidRPr="00E91B41" w:rsidRDefault="00840DBA" w:rsidP="00F830A6">
      <w:pPr>
        <w:numPr>
          <w:ilvl w:val="0"/>
          <w:numId w:val="6"/>
        </w:numPr>
        <w:ind w:left="1134" w:hanging="567"/>
      </w:pPr>
      <w:r>
        <w:lastRenderedPageBreak/>
        <w:t>at tilbyde uddannelse i kønsfølsomhed til politi, offentlige myndigheder og personalet i specialiserede modtagelsescentre, herunder krisecentre for kvindelige ofre for kønsbaseret vold, hvor frontpersonalet skal have fortrinsret til denne type uddannelse</w:t>
      </w:r>
    </w:p>
    <w:p w14:paraId="1370AFB7" w14:textId="77777777" w:rsidR="003B351E" w:rsidRPr="00E91B41" w:rsidRDefault="00FF04B6" w:rsidP="00F830A6">
      <w:pPr>
        <w:numPr>
          <w:ilvl w:val="0"/>
          <w:numId w:val="6"/>
        </w:numPr>
        <w:ind w:left="1134" w:hanging="567"/>
      </w:pPr>
      <w:r>
        <w:t>at indsamle administrative oplysninger om partnervold og kønsrelaterede drab på kvinder og piger (kvindedrab) for at bidrage til forebyggelsen og bekæmpelsen heraf</w:t>
      </w:r>
    </w:p>
    <w:p w14:paraId="752338A8" w14:textId="77777777" w:rsidR="003B351E" w:rsidRPr="00E91B41" w:rsidRDefault="00FF04B6" w:rsidP="00F830A6">
      <w:pPr>
        <w:numPr>
          <w:ilvl w:val="0"/>
          <w:numId w:val="6"/>
        </w:numPr>
        <w:ind w:left="1134" w:hanging="567"/>
      </w:pPr>
      <w:r>
        <w:t xml:space="preserve">at anvende en nultolerancepolitik over for sexistiske reklamer, bl.a. i det offentlige rum og i den offentlige transport, da dette fremmer skadelige kønsstereotyper </w:t>
      </w:r>
    </w:p>
    <w:p w14:paraId="315213B2" w14:textId="68241AAD" w:rsidR="003B351E" w:rsidRPr="00E91B41" w:rsidRDefault="00FF04B6" w:rsidP="00F830A6">
      <w:pPr>
        <w:numPr>
          <w:ilvl w:val="0"/>
          <w:numId w:val="6"/>
        </w:numPr>
        <w:ind w:left="1134" w:hanging="567"/>
      </w:pPr>
      <w:r>
        <w:t>systematisk at tage hensyn til kvinders sikkerhed og behov, når der træffes beslutninger om budgetforanstaltninger vedrørende offentlige tjenester, såsom offentlig belysning, offentlig transport og ressourcer inden for sociale tjenester, der beskæftiger sig med ofre for kønsbaseret vold</w:t>
      </w:r>
    </w:p>
    <w:p w14:paraId="3CCD35B5" w14:textId="64E5E95A" w:rsidR="00D7578C" w:rsidRPr="00E91B41" w:rsidRDefault="00D7578C" w:rsidP="00F830A6">
      <w:pPr>
        <w:numPr>
          <w:ilvl w:val="0"/>
          <w:numId w:val="6"/>
        </w:numPr>
        <w:ind w:left="1134" w:hanging="567"/>
      </w:pPr>
      <w:bookmarkStart w:id="0" w:name="_Hlk126162679"/>
      <w:r>
        <w:t>at tilrettelægge undervisningsprogrammer/kurser/præsentationer på skoler og universiteter som tillæg til undervisningsplanerne for samliv og seksualitet og fra en tidlig alder at bevidstgøre om konsekvenserne af kønsbaseret chikane og vold</w:t>
      </w:r>
      <w:bookmarkEnd w:id="0"/>
    </w:p>
    <w:p w14:paraId="567CF1E6" w14:textId="77777777" w:rsidR="00D7578C" w:rsidRPr="00E91B41" w:rsidRDefault="00FF04B6" w:rsidP="00F830A6">
      <w:pPr>
        <w:numPr>
          <w:ilvl w:val="0"/>
          <w:numId w:val="6"/>
        </w:numPr>
        <w:ind w:left="1134" w:hanging="567"/>
      </w:pPr>
      <w:r>
        <w:t>fortsat at være årvågen og træffe øjeblikkelige sanktioner i tilfælde af menneskehandel og praksis, der er skadelig for kvinder og piger (kvindelig kønslemlæstelse, tidlige ægteskaber og tvangsægteskaber, tvangssterilisation osv.)</w:t>
      </w:r>
    </w:p>
    <w:p w14:paraId="0BBC2CCE" w14:textId="77777777" w:rsidR="00D7578C" w:rsidRPr="00E91B41" w:rsidRDefault="00FF04B6" w:rsidP="00F830A6">
      <w:pPr>
        <w:numPr>
          <w:ilvl w:val="0"/>
          <w:numId w:val="6"/>
        </w:numPr>
        <w:ind w:left="1134" w:hanging="567"/>
      </w:pPr>
      <w:r>
        <w:t xml:space="preserve">fortsat at være årvågen og anvende en nultolerancepolitik over for alle former for kønsbaseret </w:t>
      </w:r>
      <w:proofErr w:type="spellStart"/>
      <w:r>
        <w:t>cybervold</w:t>
      </w:r>
      <w:proofErr w:type="spellEnd"/>
    </w:p>
    <w:p w14:paraId="6A04C8ED" w14:textId="77777777" w:rsidR="00D7578C" w:rsidRPr="00E91B41" w:rsidRDefault="00155B5B" w:rsidP="00F830A6">
      <w:pPr>
        <w:numPr>
          <w:ilvl w:val="0"/>
          <w:numId w:val="6"/>
        </w:numPr>
        <w:ind w:left="1134" w:hanging="567"/>
      </w:pPr>
      <w:r>
        <w:t xml:space="preserve">at øge offentlighedens bevidsthed om kønsbaseret vold gennem kommunikationskampagner – der også har til formål at oplyse ofrene om, hvor og hvordan de kan få adgang til støttetjenester – som kulminerer omkring den internationale dag for afskaffelse af vold mod kvinder (den 25. november) </w:t>
      </w:r>
    </w:p>
    <w:p w14:paraId="0000002D" w14:textId="1BA154B6" w:rsidR="00D50B28" w:rsidRPr="00CF1E0A" w:rsidRDefault="00FF04B6" w:rsidP="00F830A6">
      <w:pPr>
        <w:numPr>
          <w:ilvl w:val="0"/>
          <w:numId w:val="6"/>
        </w:numPr>
        <w:ind w:left="1134" w:hanging="567"/>
      </w:pPr>
      <w:r>
        <w:t xml:space="preserve">at foregå med et godt eksempel, når det gælder (kommunens/byens/regionens navn) ______________________ organisation og funktionsmåde. </w:t>
      </w:r>
    </w:p>
    <w:p w14:paraId="173B93C6" w14:textId="77777777" w:rsidR="003D6677" w:rsidRPr="00CF1E0A" w:rsidRDefault="003D6677" w:rsidP="00F830A6"/>
    <w:p w14:paraId="242C6266" w14:textId="4C1B334E" w:rsidR="003D6677" w:rsidRPr="00CF1E0A" w:rsidRDefault="003D6677" w:rsidP="00F830A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da-DK"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A5707"/>
    <w:rsid w:val="001F01E6"/>
    <w:rsid w:val="00236DF8"/>
    <w:rsid w:val="00260BFF"/>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4645C"/>
    <w:rsid w:val="00456376"/>
    <w:rsid w:val="00473D1F"/>
    <w:rsid w:val="00494A60"/>
    <w:rsid w:val="004B4A5C"/>
    <w:rsid w:val="004D6AFD"/>
    <w:rsid w:val="004F07E0"/>
    <w:rsid w:val="00527C39"/>
    <w:rsid w:val="005365B6"/>
    <w:rsid w:val="00537037"/>
    <w:rsid w:val="00547CD8"/>
    <w:rsid w:val="00570266"/>
    <w:rsid w:val="005F7C88"/>
    <w:rsid w:val="006110AD"/>
    <w:rsid w:val="00656BC1"/>
    <w:rsid w:val="0066557B"/>
    <w:rsid w:val="006A48E1"/>
    <w:rsid w:val="006D6E47"/>
    <w:rsid w:val="006E0600"/>
    <w:rsid w:val="00705B05"/>
    <w:rsid w:val="007750C5"/>
    <w:rsid w:val="0078512B"/>
    <w:rsid w:val="007C0121"/>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31548"/>
    <w:rsid w:val="00B60D7C"/>
    <w:rsid w:val="00B61273"/>
    <w:rsid w:val="00B97533"/>
    <w:rsid w:val="00BD51E6"/>
    <w:rsid w:val="00BE353C"/>
    <w:rsid w:val="00BE56BA"/>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34ABF"/>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93596"/>
    <w:rsid w:val="00EC0640"/>
    <w:rsid w:val="00F05277"/>
    <w:rsid w:val="00F15CCB"/>
    <w:rsid w:val="00F56348"/>
    <w:rsid w:val="00F830A6"/>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a-DK"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da-DK" w:eastAsia="en-US"/>
    </w:rPr>
  </w:style>
  <w:style w:type="character" w:customStyle="1" w:styleId="Heading2Char">
    <w:name w:val="Heading 2 Char"/>
    <w:basedOn w:val="DefaultParagraphFont"/>
    <w:link w:val="Heading2"/>
    <w:rsid w:val="000E2371"/>
    <w:rPr>
      <w:lang w:val="da-DK" w:eastAsia="en-US"/>
    </w:rPr>
  </w:style>
  <w:style w:type="character" w:customStyle="1" w:styleId="Heading3Char">
    <w:name w:val="Heading 3 Char"/>
    <w:basedOn w:val="DefaultParagraphFont"/>
    <w:link w:val="Heading3"/>
    <w:rsid w:val="000E2371"/>
    <w:rPr>
      <w:lang w:val="da-DK" w:eastAsia="en-US"/>
    </w:rPr>
  </w:style>
  <w:style w:type="character" w:customStyle="1" w:styleId="Heading4Char">
    <w:name w:val="Heading 4 Char"/>
    <w:basedOn w:val="DefaultParagraphFont"/>
    <w:link w:val="Heading4"/>
    <w:rsid w:val="000E2371"/>
    <w:rPr>
      <w:lang w:val="da-DK" w:eastAsia="en-US"/>
    </w:rPr>
  </w:style>
  <w:style w:type="character" w:customStyle="1" w:styleId="Heading5Char">
    <w:name w:val="Heading 5 Char"/>
    <w:basedOn w:val="DefaultParagraphFont"/>
    <w:link w:val="Heading5"/>
    <w:rsid w:val="000E2371"/>
    <w:rPr>
      <w:lang w:val="da-DK" w:eastAsia="en-US"/>
    </w:rPr>
  </w:style>
  <w:style w:type="character" w:customStyle="1" w:styleId="Heading6Char">
    <w:name w:val="Heading 6 Char"/>
    <w:basedOn w:val="DefaultParagraphFont"/>
    <w:link w:val="Heading6"/>
    <w:rsid w:val="000E2371"/>
    <w:rPr>
      <w:lang w:val="da-DK" w:eastAsia="en-US"/>
    </w:rPr>
  </w:style>
  <w:style w:type="character" w:customStyle="1" w:styleId="Heading7Char">
    <w:name w:val="Heading 7 Char"/>
    <w:basedOn w:val="DefaultParagraphFont"/>
    <w:link w:val="Heading7"/>
    <w:rsid w:val="000E2371"/>
    <w:rPr>
      <w:lang w:val="da-DK" w:eastAsia="en-US"/>
    </w:rPr>
  </w:style>
  <w:style w:type="character" w:customStyle="1" w:styleId="Heading8Char">
    <w:name w:val="Heading 8 Char"/>
    <w:basedOn w:val="DefaultParagraphFont"/>
    <w:link w:val="Heading8"/>
    <w:rsid w:val="000E2371"/>
    <w:rPr>
      <w:lang w:val="da-DK" w:eastAsia="en-US"/>
    </w:rPr>
  </w:style>
  <w:style w:type="character" w:customStyle="1" w:styleId="Heading9Char">
    <w:name w:val="Heading 9 Char"/>
    <w:basedOn w:val="DefaultParagraphFont"/>
    <w:link w:val="Heading9"/>
    <w:rsid w:val="000E2371"/>
    <w:rPr>
      <w:lang w:val="da-DK"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da-DK"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da-DK"/>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da-DK"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da-DK"/>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PWMHTDDKQ3QZ-1287546590-1436</_dlc_DocId>
    <_dlc_DocIdUrl xmlns="eff9f743-c5e6-45b1-888b-0c3422c38b02">
      <Url>http://dm2016/cor/2023/_layouts/15/DocIdRedir.aspx?ID=PWMHTDDKQ3QZ-1287546590-1436</Url>
      <Description>PWMHTDDKQ3QZ-1287546590-1436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Rossen Jette</DisplayName>
        <AccountId>1190</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9CA7E2-F409-4C21-919F-5FCE9F1F4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3FB78-EA5E-423B-B64D-933313F9DE39}">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3.xml><?xml version="1.0" encoding="utf-8"?>
<ds:datastoreItem xmlns:ds="http://schemas.openxmlformats.org/officeDocument/2006/customXml" ds:itemID="{8C018417-CD1D-4041-84C3-1B67E3FF877C}">
  <ds:schemaRefs>
    <ds:schemaRef ds:uri="http://schemas.microsoft.com/sharepoint/v3/contenttype/forms"/>
  </ds:schemaRefs>
</ds:datastoreItem>
</file>

<file path=customXml/itemProps4.xml><?xml version="1.0" encoding="utf-8"?>
<ds:datastoreItem xmlns:ds="http://schemas.openxmlformats.org/officeDocument/2006/customXml" ds:itemID="{609AAF79-C9D5-4A3A-8037-C7CB56606B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Opdateret resolution kvinder_DA</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11</cp:revision>
  <dcterms:created xsi:type="dcterms:W3CDTF">2023-02-06T09:51:00Z</dcterms:created>
  <dcterms:modified xsi:type="dcterms:W3CDTF">2023-02-18T15:53:00Z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022c3511-e01f-452c-8e20-ebd22015f1bb</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BG|1a1b3951-7821-4e6a-85f5-5673fc08bd2c;LV|46f7e311-5d9f-4663-b433-18aeccb7ace7;EN|f2175f21-25d7-44a3-96da-d6a61b075e1b;SL|98a412ae-eb01-49e9-ae3d-585a81724cfc;NL|55c6556c-b4f4-441d-9acf-c498d4f838bd;SV|c2ed69e7-a339-43d7-8f22-d93680a92aa0;CS|72f9705b-0217-4fd3-bea2-cbc7ed80e26e;DE|f6b31e5a-26fa-4935-b661-318e46daf27e;EL|6d4f4d51-af9b-4650-94b4-4276bee85c91;MT|7df99101-6854-4a26-b53a-b88c0da02c26;ES|e7a6b05b-ae16-40c8-add9-68b64b03aeba;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33;#SL|98a412ae-eb01-49e9-ae3d-585a81724cfc;#28;#BG|1a1b3951-7821-4e6a-85f5-5673fc08bd2c;#26;#LV|46f7e311-5d9f-4663-b433-18aeccb7ace7;#25;#ES|e7a6b05b-ae16-40c8-add9-68b64b03aeba;#21;#CS|72f9705b-0217-4fd3-bea2-cbc7ed80e26e;#20;#NL|55c6556c-b4f4-441d-9acf-c498d4f838bd;#19;#SK|46d9fce0-ef79-4f71-b89b-cd6aa82426b8;#18;#PL|1e03da61-4678-4e07-b136-b5024ca9197b;#17;#DE|f6b31e5a-26fa-4935-b661-318e46daf27e;#14;#RO|feb747a2-64cd-4299-af12-4833ddc30497;#13;#MT|7df99101-6854-4a26-b53a-b88c0da02c26;#10;#SV|c2ed69e7-a339-43d7-8f22-d93680a92aa0;#7;#Final|ea5e6674-7b27-4bac-b091-73adbb394efe;#35;#EL|6d4f4d51-af9b-4650-94b4-4276bee85c91;#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15;#DA|5d49c027-8956-412b-aa16-e85a0f96ad0e</vt:lpwstr>
  </property>
</Properties>
</file>