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770203" w:rsidRDefault="00FF04B6" w:rsidP="00126E5F">
      <w:pPr>
        <w:rPr>
          <w:i/>
        </w:rPr>
      </w:pPr>
      <w:r w:rsidRPr="00770203">
        <w:rPr>
          <w:i/>
        </w:rPr>
        <w:t xml:space="preserve">Το κείμενο του κάτωθι δείγματος ψηφίσματος μπορεί να προσαρμοστεί από τις ενδιαφερόμενες κοινότητες, δήμους ή περιφέρειες στις ιδιαιτερότητες του τοπικού ή περιφερειακού τους πλαισίου. </w:t>
      </w:r>
    </w:p>
    <w:p w14:paraId="00000002" w14:textId="3D1E8189" w:rsidR="00D50B28" w:rsidRPr="00770203" w:rsidRDefault="00D50B28" w:rsidP="00126E5F">
      <w:pPr>
        <w:rPr>
          <w:b/>
          <w:i/>
        </w:rPr>
      </w:pPr>
    </w:p>
    <w:p w14:paraId="00000003" w14:textId="79A883B8" w:rsidR="00D50B28" w:rsidRPr="00770203" w:rsidRDefault="00FF04B6" w:rsidP="00126E5F">
      <w:pPr>
        <w:rPr>
          <w:b/>
        </w:rPr>
      </w:pPr>
      <w:r w:rsidRPr="00770203">
        <w:rPr>
          <w:b/>
        </w:rPr>
        <w:t>Δείγμα ψηφίσματος κοινοτικού/δημοτικού/περιφερειακού συμβουλίου σχετικά με την ανακήρυξη τ__ ____________________________ (όνομα της πόλης/περιφέρειας) ως «Ασφαλούς τόπου για τις γυναίκες»</w:t>
      </w:r>
    </w:p>
    <w:p w14:paraId="00000004" w14:textId="77777777" w:rsidR="00D50B28" w:rsidRPr="00770203" w:rsidRDefault="00D50B28" w:rsidP="00126E5F"/>
    <w:p w14:paraId="00000005" w14:textId="6D2669EA" w:rsidR="00D50B28" w:rsidRPr="00770203" w:rsidRDefault="00FF04B6" w:rsidP="00126E5F">
      <w:r w:rsidRPr="00770203">
        <w:t>Το δημοτικό/περιφερειακό συμβούλιο (διαγράψτε αναλόγως) τ__ _____________ (όνομα της πόλης/περιφέρειας),</w:t>
      </w:r>
    </w:p>
    <w:p w14:paraId="00000006" w14:textId="77777777" w:rsidR="00D50B28" w:rsidRPr="00770203" w:rsidRDefault="00D50B28" w:rsidP="00126E5F"/>
    <w:p w14:paraId="00000007"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έχοντας υπόψη την Οικουμενική Διακήρυξη των Δικαιωμάτων του Ανθρώπου,</w:t>
      </w:r>
    </w:p>
    <w:p w14:paraId="00000008"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έχοντας υπόψη τα άρθρα 2 και 3 της Συνθήκης για την Ευρωπαϊκή Ένωση (ΣΕΕ),</w:t>
      </w:r>
    </w:p>
    <w:p w14:paraId="00000009"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έχοντας υπόψη τον Χάρτη των Θεμελιωδών Δικαιωμάτων της Ευρωπαϊκής Ένωσης,</w:t>
      </w:r>
    </w:p>
    <w:p w14:paraId="0000000A"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 xml:space="preserve">έχοντας υπόψη την Ευρωπαϊκή σύμβαση των δικαιωμάτων του ανθρώπου και τη σχετική νομολογία του Ευρωπαϊκού Δικαστηρίου Ανθρωπίνων Δικαιωμάτων, </w:t>
      </w:r>
    </w:p>
    <w:p w14:paraId="0000000B"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έχοντας υπόψη τη Σύμβαση του Συμβουλίου της Ευρώπης για την πρόληψη και καταπολέμηση της βίας κατά των γυναικών και της ενδοοικογενειακής βίας (Σύμβαση της Κωνσταντινούπολης),</w:t>
      </w:r>
    </w:p>
    <w:p w14:paraId="0000000C" w14:textId="77777777" w:rsidR="00D50B28" w:rsidRPr="00770203" w:rsidRDefault="00FF04B6" w:rsidP="00E91B41">
      <w:pPr>
        <w:pStyle w:val="ListParagraph"/>
        <w:numPr>
          <w:ilvl w:val="0"/>
          <w:numId w:val="11"/>
        </w:numPr>
        <w:tabs>
          <w:tab w:val="clear" w:pos="0"/>
        </w:tabs>
        <w:ind w:left="850"/>
        <w:rPr>
          <w:color w:val="000000" w:themeColor="text1"/>
        </w:rPr>
      </w:pPr>
      <w:r w:rsidRPr="00770203">
        <w:rPr>
          <w:color w:val="000000" w:themeColor="text1"/>
        </w:rPr>
        <w:t>έχοντας υπόψη την πρόταση οδηγίας της Επιτροπής της 8ης Μαρτίου 2022 για την καταπολέμηση της βίας κατά των γυναικών και της ενδοοικογενειακής βίας,</w:t>
      </w:r>
    </w:p>
    <w:p w14:paraId="0000000D" w14:textId="2F789E2C" w:rsidR="00D50B28" w:rsidRPr="00770203"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sidRPr="00770203">
        <w:rPr>
          <w:color w:val="000000" w:themeColor="text1"/>
          <w:sz w:val="22"/>
        </w:rPr>
        <w:t>έχοντας υπόψη την ανακοίνωση της Επιτροπής της 5ης Μαρτίου 2020 με τίτλο «Μια Ένωση ισότητας — Στρατηγική για την ισότητα των φύλων 2020-2025»,</w:t>
      </w:r>
    </w:p>
    <w:p w14:paraId="0000000E" w14:textId="77777777" w:rsidR="00D50B28" w:rsidRPr="00770203" w:rsidRDefault="00FF04B6" w:rsidP="00E91B41">
      <w:pPr>
        <w:pStyle w:val="ListParagraph"/>
        <w:numPr>
          <w:ilvl w:val="0"/>
          <w:numId w:val="11"/>
        </w:numPr>
        <w:tabs>
          <w:tab w:val="clear" w:pos="0"/>
        </w:tabs>
        <w:ind w:left="850"/>
      </w:pPr>
      <w:r w:rsidRPr="00770203">
        <w:t xml:space="preserve">έχοντας υπόψη το ψήφισμα του Ευρωπαϊκού Κοινοβουλίου της 16ης Σεπτεμβρίου 2021 που περιέχει συστάσεις προς την Επιτροπή σχετικά με τον χαρακτηρισμό της </w:t>
      </w:r>
      <w:proofErr w:type="spellStart"/>
      <w:r w:rsidRPr="00770203">
        <w:t>έμφυλης</w:t>
      </w:r>
      <w:proofErr w:type="spellEnd"/>
      <w:r w:rsidRPr="00770203">
        <w:t xml:space="preserve"> βίας ως νέου τομέα εγκληματικότητας που περιλαμβάνεται στον κατάλογο του άρθρου 83 παράγραφος 1 ΣΛΕΕ,</w:t>
      </w:r>
    </w:p>
    <w:p w14:paraId="0000000F" w14:textId="6FB53ADD" w:rsidR="00D50B28" w:rsidRPr="00770203" w:rsidRDefault="00FF04B6" w:rsidP="00E91B41">
      <w:pPr>
        <w:pStyle w:val="ListParagraph"/>
        <w:numPr>
          <w:ilvl w:val="0"/>
          <w:numId w:val="11"/>
        </w:numPr>
        <w:tabs>
          <w:tab w:val="clear" w:pos="0"/>
        </w:tabs>
        <w:ind w:left="850"/>
      </w:pPr>
      <w:r w:rsidRPr="00770203">
        <w:t>έχοντας υπόψη το ψήφισμα του Ευρωπαϊκού Κοινοβουλίου της 12ης Φεβρουαρίου 2020 σχετικά με μια στρατηγική της ΕΕ για τον τερματισμό της πρακτικής ακρωτηριασμού των γυναικείων γεννητικών οργάνων σε ολόκληρο τον κόσμο,</w:t>
      </w:r>
    </w:p>
    <w:p w14:paraId="00000010" w14:textId="77777777" w:rsidR="00D50B28" w:rsidRPr="00770203" w:rsidRDefault="00FF04B6" w:rsidP="00E91B41">
      <w:pPr>
        <w:pStyle w:val="ListParagraph"/>
        <w:numPr>
          <w:ilvl w:val="0"/>
          <w:numId w:val="11"/>
        </w:numPr>
        <w:tabs>
          <w:tab w:val="clear" w:pos="0"/>
        </w:tabs>
        <w:ind w:left="850"/>
      </w:pPr>
      <w:r w:rsidRPr="00770203">
        <w:t>έχοντας υπόψη τη Σύμβαση του ΟΗΕ για την εξάλειψη όλων των μορφών διακρίσεως κατά των γυναικών (CEDAW),</w:t>
      </w:r>
    </w:p>
    <w:p w14:paraId="00000011" w14:textId="4158C624" w:rsidR="00D50B28" w:rsidRPr="00770203" w:rsidRDefault="00FF04B6" w:rsidP="00E91B41">
      <w:pPr>
        <w:pStyle w:val="ListParagraph"/>
        <w:numPr>
          <w:ilvl w:val="0"/>
          <w:numId w:val="11"/>
        </w:numPr>
        <w:tabs>
          <w:tab w:val="clear" w:pos="0"/>
        </w:tabs>
        <w:ind w:left="850"/>
      </w:pPr>
      <w:r w:rsidRPr="00770203">
        <w:t>έχοντας υπόψη τη Σύμβαση αριθ. 190 της Διεθνούς Οργάνωσης Εργασίας σχετικά με την εξάλειψη της βίας και της παρενόχλησης στην εργασία,</w:t>
      </w:r>
    </w:p>
    <w:p w14:paraId="00000012" w14:textId="42155ADE" w:rsidR="00D50B28" w:rsidRPr="00770203" w:rsidRDefault="00FF04B6" w:rsidP="00E91B41">
      <w:pPr>
        <w:pStyle w:val="ListParagraph"/>
        <w:numPr>
          <w:ilvl w:val="0"/>
          <w:numId w:val="11"/>
        </w:numPr>
        <w:tabs>
          <w:tab w:val="clear" w:pos="0"/>
        </w:tabs>
        <w:ind w:left="850"/>
      </w:pPr>
      <w:r w:rsidRPr="00770203">
        <w:t>έχοντας υπόψη τον Στόχο Βιώσιμης Ανάπτυξης των Ηνωμένων Εθνών αριθ. 5 για την ισότητα των φύλων,</w:t>
      </w:r>
    </w:p>
    <w:p w14:paraId="00000013" w14:textId="2F63E25F" w:rsidR="00D50B28" w:rsidRPr="00770203" w:rsidRDefault="00FF04B6" w:rsidP="00E91B41">
      <w:pPr>
        <w:pStyle w:val="ListParagraph"/>
        <w:numPr>
          <w:ilvl w:val="0"/>
          <w:numId w:val="11"/>
        </w:numPr>
        <w:tabs>
          <w:tab w:val="clear" w:pos="0"/>
        </w:tabs>
        <w:ind w:left="850"/>
      </w:pPr>
      <w:r w:rsidRPr="00770203">
        <w:t xml:space="preserve">έχοντας υπόψη το ψήφισμα του Ευρωπαϊκού Κοινοβουλίου της 16ης Δεκεμβρίου 2021 που περιέχει συστάσεις προς την Επιτροπή σχετικά με την καταπολέμηση της </w:t>
      </w:r>
      <w:proofErr w:type="spellStart"/>
      <w:r w:rsidRPr="00770203">
        <w:t>έμφυλης</w:t>
      </w:r>
      <w:proofErr w:type="spellEnd"/>
      <w:r w:rsidRPr="00770203">
        <w:t xml:space="preserve"> βίας στο διαδίκτυο,</w:t>
      </w:r>
    </w:p>
    <w:p w14:paraId="19B3B425" w14:textId="213F096D" w:rsidR="0088414D" w:rsidRPr="00770203" w:rsidRDefault="0088414D" w:rsidP="00E91B41">
      <w:pPr>
        <w:pStyle w:val="ListParagraph"/>
        <w:numPr>
          <w:ilvl w:val="0"/>
          <w:numId w:val="11"/>
        </w:numPr>
        <w:tabs>
          <w:tab w:val="clear" w:pos="0"/>
        </w:tabs>
        <w:ind w:left="850"/>
      </w:pPr>
      <w:r w:rsidRPr="00770203">
        <w:t>έχοντας υπόψη το ψήφισμα του συμβουλίου της περιφέρειας της Βαλένθια σχετικά με την ανακήρυξη της περιοχής ως «Ασφαλούς τόπου για τις γυναίκες»,</w:t>
      </w:r>
    </w:p>
    <w:p w14:paraId="00000014" w14:textId="77777777" w:rsidR="00D50B28" w:rsidRPr="00770203" w:rsidRDefault="00D50B28" w:rsidP="00126E5F"/>
    <w:p w14:paraId="00000015" w14:textId="77777777" w:rsidR="00D50B28" w:rsidRPr="00770203" w:rsidRDefault="00FF04B6" w:rsidP="00126E5F">
      <w:pPr>
        <w:pStyle w:val="ListParagraph"/>
        <w:numPr>
          <w:ilvl w:val="0"/>
          <w:numId w:val="5"/>
        </w:numPr>
        <w:shd w:val="clear" w:color="auto" w:fill="FFFFFF"/>
        <w:ind w:left="1134" w:hanging="567"/>
      </w:pPr>
      <w:r w:rsidRPr="00770203">
        <w:t xml:space="preserve">λαμβάνοντας υπόψη ότι η ισότητα μεταξύ γυναικών και ανδρών αποτελεί βασική αξία της ΕΕ και θεμελιώδες δικαίωμα που κατοχυρώνεται στις συνθήκες και στον Χάρτη των Θεμελιωδών Δικαιωμάτων της Ευρωπαϊκής Ένωσης· </w:t>
      </w:r>
    </w:p>
    <w:p w14:paraId="00000016" w14:textId="77777777" w:rsidR="00D50B28" w:rsidRPr="00770203" w:rsidRDefault="00FF04B6" w:rsidP="00126E5F">
      <w:pPr>
        <w:pStyle w:val="ListParagraph"/>
        <w:numPr>
          <w:ilvl w:val="0"/>
          <w:numId w:val="5"/>
        </w:numPr>
        <w:shd w:val="clear" w:color="auto" w:fill="FFFFFF"/>
        <w:ind w:left="1134" w:hanging="567"/>
      </w:pPr>
      <w:r w:rsidRPr="00770203">
        <w:lastRenderedPageBreak/>
        <w:t xml:space="preserve">λαμβάνοντας υπόψη ότι η καταπολέμηση της </w:t>
      </w:r>
      <w:proofErr w:type="spellStart"/>
      <w:r w:rsidRPr="00770203">
        <w:t>έμφυλης</w:t>
      </w:r>
      <w:proofErr w:type="spellEnd"/>
      <w:r w:rsidRPr="00770203">
        <w:t xml:space="preserve"> βίας στην ΕΕ αποτελεί κοινή ευθύνη, που απαιτεί κοινές προσπάθειες και δράση σε κάθε επίπεδο διακυβέρνησης, ιδίως δε από τις τοπικές και περιφερειακές αρχές, οι οποίες επιτελούν καθοριστικό ρόλο προς τούτο ως το πλησιέστερο προς τους πολίτες επίπεδο διακυβέρνησης·</w:t>
      </w:r>
    </w:p>
    <w:p w14:paraId="547091C0" w14:textId="77777777" w:rsidR="009B4BD2" w:rsidRPr="00770203" w:rsidRDefault="00FF04B6" w:rsidP="00126E5F">
      <w:pPr>
        <w:pStyle w:val="ListParagraph"/>
        <w:numPr>
          <w:ilvl w:val="0"/>
          <w:numId w:val="5"/>
        </w:numPr>
        <w:shd w:val="clear" w:color="auto" w:fill="FFFFFF"/>
        <w:ind w:left="1134" w:hanging="567"/>
      </w:pPr>
      <w:r w:rsidRPr="00770203">
        <w:t xml:space="preserve">λαμβάνοντας υπόψη ότι η εξάλειψη της </w:t>
      </w:r>
      <w:proofErr w:type="spellStart"/>
      <w:r w:rsidRPr="00770203">
        <w:t>έμφυλης</w:t>
      </w:r>
      <w:proofErr w:type="spellEnd"/>
      <w:r w:rsidRPr="00770203">
        <w:t xml:space="preserve"> βία, συμπεριλαμβανομένης της ανδρικής βίας κατά των γυναικών και των κοριτσιών, αποτελεί προϋπόθεση για την επίτευξη πραγματικής ισότητας των φύλων·</w:t>
      </w:r>
    </w:p>
    <w:p w14:paraId="67C856DB" w14:textId="5158BDA7" w:rsidR="00FF4EE4" w:rsidRPr="00770203" w:rsidRDefault="00FF04B6" w:rsidP="00126E5F">
      <w:pPr>
        <w:pStyle w:val="ListParagraph"/>
        <w:numPr>
          <w:ilvl w:val="0"/>
          <w:numId w:val="5"/>
        </w:numPr>
        <w:shd w:val="clear" w:color="auto" w:fill="FFFFFF"/>
        <w:ind w:left="1134" w:hanging="567"/>
      </w:pPr>
      <w:r w:rsidRPr="00770203">
        <w:t xml:space="preserve">λαμβάνοντας υπόψη ότι το 31 % των γυναικών στην Ευρώπη έχει υποστεί σωματική βία, το 5 % έχει υποστεί βιασμό σε χώρες της ΕΕ, ότι περίπου 50 γυναίκες χάνουν τη ζωή τους λόγω </w:t>
      </w:r>
      <w:proofErr w:type="spellStart"/>
      <w:r w:rsidRPr="00770203">
        <w:t>έμφυλης</w:t>
      </w:r>
      <w:proofErr w:type="spellEnd"/>
      <w:r w:rsidRPr="00770203">
        <w:t xml:space="preserve"> βίας κάθε εβδομάδα και το 43 % των γυναικών έχουν βιώσει κάποια μορφή ψυχολογικής βίας από τον σύντροφό τους, ενώ εκτιμάται ότι η βία εξακολουθεί σε μεγάλο βαθμό να μην καταγγέλλεται επαρκώς·</w:t>
      </w:r>
    </w:p>
    <w:p w14:paraId="00000019" w14:textId="749DBCAA" w:rsidR="00D50B28" w:rsidRPr="00770203" w:rsidRDefault="009C55EF" w:rsidP="00126E5F">
      <w:pPr>
        <w:pStyle w:val="ListParagraph"/>
        <w:numPr>
          <w:ilvl w:val="0"/>
          <w:numId w:val="5"/>
        </w:numPr>
        <w:shd w:val="clear" w:color="auto" w:fill="FFFFFF"/>
        <w:ind w:left="1134" w:hanging="567"/>
      </w:pPr>
      <w:r w:rsidRPr="00770203">
        <w:t xml:space="preserve">λαμβάνοντας υπόψη ότι η </w:t>
      </w:r>
      <w:proofErr w:type="spellStart"/>
      <w:r w:rsidRPr="00770203">
        <w:t>έμφυλη</w:t>
      </w:r>
      <w:proofErr w:type="spellEnd"/>
      <w:r w:rsidRPr="00770203">
        <w:t xml:space="preserve"> βία, τόσο εντός όσο και εκτός διαδικτύου, και η έλλειψη πρόσβασης σε επαρκή προστασία θέτουν σε κίνδυνο ορισμένα θεμελιώδη δικαιώματα, μεταξύ άλλων το δικαίωμα στη ζωή, το δικαίωμα στην ανθρώπινη αξιοπρέπεια, το δικαίωμα στη σωματική και διανοητική ακεραιότητα, την απαγόρευση των βασανιστηρίων και της απάνθρωπης ή εξευτελιστικής μεταχείρισης ή τιμωρίας, την απαγόρευση της δουλείας και της καταναγκαστικής εργασίας, το δικαίωμα στην ελευθερία και την ασφάλεια και το δικαίωμα στον σεβασμό της ιδιωτικής και οικογενειακής ζωής·</w:t>
      </w:r>
    </w:p>
    <w:p w14:paraId="0000001A" w14:textId="67D82D6F" w:rsidR="00D50B28" w:rsidRPr="00770203" w:rsidRDefault="00FF04B6" w:rsidP="00126E5F">
      <w:pPr>
        <w:pStyle w:val="ListParagraph"/>
        <w:numPr>
          <w:ilvl w:val="0"/>
          <w:numId w:val="5"/>
        </w:numPr>
        <w:shd w:val="clear" w:color="auto" w:fill="FFFFFF"/>
        <w:ind w:left="1134" w:hanging="567"/>
      </w:pPr>
      <w:r w:rsidRPr="00770203">
        <w:t>λαμβάνοντας υπόψη ότι οι δολοφονίες γυναικών και κοριτσιών που σχετίζονται με το φύλο (</w:t>
      </w:r>
      <w:proofErr w:type="spellStart"/>
      <w:r w:rsidRPr="00770203">
        <w:t>γυναικοκτονίες</w:t>
      </w:r>
      <w:proofErr w:type="spellEnd"/>
      <w:r w:rsidRPr="00770203">
        <w:t>) θα πρέπει να αποτελούν χωριστή κατηγορία εγκλημάτων, καθότι η ουδέτερη ως προς το φύλο έννοια της ανθρωποκτονίας παραβλέπει την πραγματικότητα της ανισότητας, της καταπίεσης και της συστηματικής βίας κατά των γυναικών·</w:t>
      </w:r>
    </w:p>
    <w:p w14:paraId="59209E5F" w14:textId="69002C8B" w:rsidR="006A48E1" w:rsidRPr="00770203" w:rsidRDefault="006A48E1" w:rsidP="00126E5F">
      <w:pPr>
        <w:pStyle w:val="ListParagraph"/>
        <w:numPr>
          <w:ilvl w:val="0"/>
          <w:numId w:val="5"/>
        </w:numPr>
        <w:shd w:val="clear" w:color="auto" w:fill="FFFFFF"/>
        <w:ind w:left="1134" w:hanging="567"/>
      </w:pPr>
      <w:r w:rsidRPr="00770203">
        <w:t xml:space="preserve">λαμβάνοντας υπόψη ότι η </w:t>
      </w:r>
      <w:proofErr w:type="spellStart"/>
      <w:r w:rsidRPr="00770203">
        <w:t>έμφυλη</w:t>
      </w:r>
      <w:proofErr w:type="spellEnd"/>
      <w:r w:rsidRPr="00770203">
        <w:t xml:space="preserve"> βία θα πρέπει να αναγνωριστεί ως τομέας εγκληματικότητας στην ΕΕ σύμφωνα με τις Συνθήκες·</w:t>
      </w:r>
    </w:p>
    <w:p w14:paraId="0000001B" w14:textId="0A596767" w:rsidR="00D50B28" w:rsidRPr="00770203" w:rsidRDefault="00FF04B6" w:rsidP="00126E5F">
      <w:pPr>
        <w:pStyle w:val="ListParagraph"/>
        <w:numPr>
          <w:ilvl w:val="0"/>
          <w:numId w:val="5"/>
        </w:numPr>
        <w:shd w:val="clear" w:color="auto" w:fill="FFFFFF"/>
        <w:ind w:left="1134" w:hanging="567"/>
      </w:pPr>
      <w:r w:rsidRPr="00770203">
        <w:t>λαμβάνοντας υπόψη ότι οι πρακτικές των πρώιμων και καταναγκαστικών γάμων και του ακρωτηριασμού των γυναικείων γεννητικών οργάνων που μεταδίδονται μέσω των παραδόσεων και του πολιτισμού, συνιστούν παραβίαση των δικαιωμάτων στην ελευθερία, την ανθρώπινη αξιοπρέπεια και τη σωματική ακεραιότητα·</w:t>
      </w:r>
    </w:p>
    <w:p w14:paraId="26A48D57" w14:textId="22E094DD" w:rsidR="00AE19A0" w:rsidRPr="00770203" w:rsidRDefault="00FF04B6" w:rsidP="00126E5F">
      <w:pPr>
        <w:numPr>
          <w:ilvl w:val="0"/>
          <w:numId w:val="5"/>
        </w:numPr>
        <w:ind w:left="1134" w:hanging="567"/>
      </w:pPr>
      <w:r w:rsidRPr="00770203">
        <w:t xml:space="preserve">λαμβάνοντας υπόψη ότι η εξάλειψη των </w:t>
      </w:r>
      <w:proofErr w:type="spellStart"/>
      <w:r w:rsidRPr="00770203">
        <w:t>έμφυλων</w:t>
      </w:r>
      <w:proofErr w:type="spellEnd"/>
      <w:r w:rsidRPr="00770203">
        <w:t xml:space="preserve"> στερεοτύπων και η ανάσχεση των καταπιεστικών πρακτικών με βάση το φύλο μέσω προοδευτικών εκπαιδευτικών προγραμμάτων —με την προσχολική, πρωτοβάθμια και δευτεροβάθμια εκπαίδευση να διαδραματίζουν καίριο ρόλο— είναι αποφασιστικής σημασίας για την πλήρη χειραφέτηση των κοριτσιών· </w:t>
      </w:r>
    </w:p>
    <w:p w14:paraId="0000001C" w14:textId="55D130C6" w:rsidR="00D50B28" w:rsidRPr="00770203" w:rsidRDefault="00FF04B6" w:rsidP="00126E5F">
      <w:pPr>
        <w:numPr>
          <w:ilvl w:val="0"/>
          <w:numId w:val="5"/>
        </w:numPr>
        <w:ind w:left="1134" w:hanging="567"/>
      </w:pPr>
      <w:r w:rsidRPr="00770203">
        <w:t xml:space="preserve">λαμβάνοντας υπόψη ότι η διαθεσιμότητα ολοκληρωμένων σχέσεων και σεξουαλικής διαπαιδαγώγησης, συμπεριλαμβανομένων εξειδικευμένων εκπαιδευτικών προγραμμάτων για αγόρια, αποτελεί αναπόσπαστο μέρος αυτών των προοδευτικών προγραμμάτων σπουδών και διαδραματίζει θεμελιώδη ρόλο στην καταπολέμηση της </w:t>
      </w:r>
      <w:proofErr w:type="spellStart"/>
      <w:r w:rsidRPr="00770203">
        <w:t>έμφυλης</w:t>
      </w:r>
      <w:proofErr w:type="spellEnd"/>
      <w:r w:rsidRPr="00770203">
        <w:t xml:space="preserve"> βίας, του μισογυνισμού και των </w:t>
      </w:r>
      <w:proofErr w:type="spellStart"/>
      <w:r w:rsidRPr="00770203">
        <w:t>έμφυλων</w:t>
      </w:r>
      <w:proofErr w:type="spellEnd"/>
      <w:r w:rsidRPr="00770203">
        <w:t xml:space="preserve"> στερεοτύπων· </w:t>
      </w:r>
    </w:p>
    <w:p w14:paraId="0000001D" w14:textId="020A28D6" w:rsidR="00D50B28" w:rsidRPr="00770203" w:rsidRDefault="00FF04B6" w:rsidP="00126E5F">
      <w:pPr>
        <w:numPr>
          <w:ilvl w:val="0"/>
          <w:numId w:val="5"/>
        </w:numPr>
        <w:ind w:left="1134" w:hanging="567"/>
      </w:pPr>
      <w:r w:rsidRPr="00770203">
        <w:t xml:space="preserve">λαμβάνοντας υπόψη ότι για την εξάλειψη των στερεοτύπων που συμβάλλουν στην προώθηση της </w:t>
      </w:r>
      <w:proofErr w:type="spellStart"/>
      <w:r w:rsidRPr="00770203">
        <w:t>έμφυλης</w:t>
      </w:r>
      <w:proofErr w:type="spellEnd"/>
      <w:r w:rsidRPr="00770203">
        <w:t xml:space="preserve"> βίας είναι καίριας σημασίας οι δημόσιες αρχές να επιδεικνύουν μηδενική ανοχή όσον αφορά την προβολή σε δημόσιους χώρους διαφημίσεων που εισάγουν διακρίσεις ή απεικονίζουν τη γυναίκα ως αντικείμενο· </w:t>
      </w:r>
    </w:p>
    <w:p w14:paraId="0000001E" w14:textId="14FD27E0" w:rsidR="00D50B28" w:rsidRPr="00770203" w:rsidRDefault="009C55EF" w:rsidP="00126E5F">
      <w:pPr>
        <w:numPr>
          <w:ilvl w:val="0"/>
          <w:numId w:val="5"/>
        </w:numPr>
        <w:ind w:left="1134" w:hanging="567"/>
      </w:pPr>
      <w:r w:rsidRPr="00770203">
        <w:t xml:space="preserve">λαμβάνοντας υπόψη ότι η ενσωμάτωση της διάστασης του φύλου και η συνεκτίμηση της διάστασης του φύλου στον προϋπολογισμό είναι καίριας σημασίας για να διασφαλιστεί ότι οι γυναίκες συνυπολογίζονται σε όλες τις πολιτικές και ότι οι πολιτικές αυτές θα πρέπει, </w:t>
      </w:r>
      <w:r w:rsidRPr="00770203">
        <w:lastRenderedPageBreak/>
        <w:t>ως εκ τούτου, να υποβάλλονται σε αυστηρές εκτιμήσεις επιπτώσεων ως προς το φύλο ακόμη και σε περιόδους κρίσεων·</w:t>
      </w:r>
    </w:p>
    <w:p w14:paraId="0000001F" w14:textId="77777777" w:rsidR="00D50B28" w:rsidRPr="00770203" w:rsidRDefault="00D50B28" w:rsidP="00126E5F"/>
    <w:p w14:paraId="00000020" w14:textId="554904D4" w:rsidR="00D50B28" w:rsidRPr="00770203" w:rsidRDefault="00FF04B6" w:rsidP="00126E5F">
      <w:r w:rsidRPr="00770203">
        <w:t>Το δημοτικό/περιφερειακό (συμβούλιο (διαγράψτε αναλόγως) τ__ _____________ (όνομα της πόλης/περιφέρειας), δεσμεύεται:</w:t>
      </w:r>
    </w:p>
    <w:p w14:paraId="00000021" w14:textId="77777777" w:rsidR="00D50B28" w:rsidRPr="00770203" w:rsidRDefault="00D50B28" w:rsidP="00126E5F"/>
    <w:p w14:paraId="00000022" w14:textId="67557E81" w:rsidR="00D50B28" w:rsidRPr="00770203" w:rsidRDefault="00FF04B6" w:rsidP="00126E5F">
      <w:pPr>
        <w:numPr>
          <w:ilvl w:val="0"/>
          <w:numId w:val="6"/>
        </w:numPr>
        <w:ind w:left="1134" w:hanging="567"/>
      </w:pPr>
      <w:r w:rsidRPr="00770203">
        <w:t xml:space="preserve">να ανακηρύξει τ__ _____________ (όνομα της πόλης/περιφέρειας) ως «Ασφαλή τόπο για τις γυναίκες» και να δεσμευτεί για τη θέσπιση δημόσιων πολιτικών για τη διαφύλαξη της ασφάλειας των γυναικών, αφενός, και για την τιμωρία ρητώς κάθε μορφής </w:t>
      </w:r>
      <w:proofErr w:type="spellStart"/>
      <w:r w:rsidRPr="00770203">
        <w:t>έμφυλης</w:t>
      </w:r>
      <w:proofErr w:type="spellEnd"/>
      <w:r w:rsidRPr="00770203">
        <w:t xml:space="preserve"> βίας, αφετέρου, διασφαλίζοντας την πλήρη και ισότιμη συμμετοχή των γυναικών καθ’ όλη τη διάρκεια της διαδικασίας·</w:t>
      </w:r>
    </w:p>
    <w:p w14:paraId="00000023" w14:textId="55E30BEE" w:rsidR="00D50B28" w:rsidRPr="00770203" w:rsidRDefault="00FF04B6" w:rsidP="00126E5F">
      <w:pPr>
        <w:numPr>
          <w:ilvl w:val="0"/>
          <w:numId w:val="6"/>
        </w:numPr>
        <w:ind w:left="1134" w:hanging="567"/>
      </w:pPr>
      <w:r w:rsidRPr="00770203">
        <w:t xml:space="preserve">να διασφαλίσει την άμεση και αδιάλειπτη πρόσβαση σε εξειδικευμένες, ασφαλείς και ολοκληρωμένες υπηρεσίες υποστήριξης για τα θύματα </w:t>
      </w:r>
      <w:proofErr w:type="spellStart"/>
      <w:r w:rsidRPr="00770203">
        <w:t>έμφυλης</w:t>
      </w:r>
      <w:proofErr w:type="spellEnd"/>
      <w:r w:rsidRPr="00770203">
        <w:t xml:space="preserve"> βίας, συμπεριλαμβανομένης της ενδοοικογενειακής και της σεξουαλικής βίας·</w:t>
      </w:r>
    </w:p>
    <w:p w14:paraId="09712771" w14:textId="733FCC4E" w:rsidR="00840DBA" w:rsidRPr="00770203" w:rsidRDefault="00FF04B6" w:rsidP="00126E5F">
      <w:pPr>
        <w:numPr>
          <w:ilvl w:val="0"/>
          <w:numId w:val="6"/>
        </w:numPr>
        <w:ind w:left="1134" w:hanging="567"/>
      </w:pPr>
      <w:r w:rsidRPr="00770203">
        <w:t xml:space="preserve">να διασφαλίσει την άμεση αντίδραση των αρμόδιων για την άνευ διακρίσεων καταχώριση και διαχείριση περιστατικών </w:t>
      </w:r>
      <w:proofErr w:type="spellStart"/>
      <w:r w:rsidRPr="00770203">
        <w:t>έμφυλης</w:t>
      </w:r>
      <w:proofErr w:type="spellEnd"/>
      <w:r w:rsidRPr="00770203">
        <w:t xml:space="preserve"> βίας αρχών και να προβλέψει μέτρα για την αποτελεσματική και άμεση προστασία των θυμάτων και των παιδιών τους·</w:t>
      </w:r>
    </w:p>
    <w:p w14:paraId="69D11FE1" w14:textId="718DC1F9" w:rsidR="00840DBA" w:rsidRPr="00770203" w:rsidRDefault="00840DBA" w:rsidP="00126E5F">
      <w:pPr>
        <w:numPr>
          <w:ilvl w:val="0"/>
          <w:numId w:val="6"/>
        </w:numPr>
        <w:ind w:left="1134" w:hanging="567"/>
      </w:pPr>
      <w:r w:rsidRPr="00770203">
        <w:t xml:space="preserve">να παράσχει κατάρτιση με στόχο την ευαισθητοποίηση της αστυνομίας, των δημόσιων αρχών και του προσωπικού των εξειδικευμένων κέντρων υποδοχής, μεταξύ άλλων των καταφυγίων για γυναίκες που έχουν πέσει θύματα </w:t>
      </w:r>
      <w:proofErr w:type="spellStart"/>
      <w:r w:rsidRPr="00770203">
        <w:t>έμφυλης</w:t>
      </w:r>
      <w:proofErr w:type="spellEnd"/>
      <w:r w:rsidRPr="00770203">
        <w:t xml:space="preserve"> βίας. Η κατάρτιση αυτή θα πρέπει κατά πρώτο και κύριο λόγο να απευθύνεται στο προσωπικό πρώτης επέμβασης·</w:t>
      </w:r>
    </w:p>
    <w:p w14:paraId="1370AFB7" w14:textId="77777777" w:rsidR="003B351E" w:rsidRPr="00770203" w:rsidRDefault="00FF04B6" w:rsidP="00126E5F">
      <w:pPr>
        <w:numPr>
          <w:ilvl w:val="0"/>
          <w:numId w:val="6"/>
        </w:numPr>
        <w:ind w:left="1134" w:hanging="567"/>
      </w:pPr>
      <w:r w:rsidRPr="00770203">
        <w:t xml:space="preserve">να συλλέξει διοικητικά δεδομένα σχετικά με την </w:t>
      </w:r>
      <w:proofErr w:type="spellStart"/>
      <w:r w:rsidRPr="00770203">
        <w:t>ενδοσυντροφική</w:t>
      </w:r>
      <w:proofErr w:type="spellEnd"/>
      <w:r w:rsidRPr="00770203">
        <w:t xml:space="preserve"> βία και τις δολοφονίες γυναικών και κοριτσιών που σχετίζονται με το φύλο (</w:t>
      </w:r>
      <w:proofErr w:type="spellStart"/>
      <w:r w:rsidRPr="00770203">
        <w:t>γυναικοκτονίες</w:t>
      </w:r>
      <w:proofErr w:type="spellEnd"/>
      <w:r w:rsidRPr="00770203">
        <w:t>), με σκοπό να συμβάλει στην πρόληψη και την καταπολέμηση αυτού του φαινομένου·</w:t>
      </w:r>
    </w:p>
    <w:p w14:paraId="752338A8" w14:textId="77777777" w:rsidR="003B351E" w:rsidRPr="00770203" w:rsidRDefault="00FF04B6" w:rsidP="00126E5F">
      <w:pPr>
        <w:numPr>
          <w:ilvl w:val="0"/>
          <w:numId w:val="6"/>
        </w:numPr>
        <w:ind w:left="1134" w:hanging="567"/>
      </w:pPr>
      <w:r w:rsidRPr="00770203">
        <w:t xml:space="preserve">να εφαρμόσει πολιτική μηδενικής ανοχής στη σεξιστική διαφήμιση, μεταξύ άλλων στους δημόσιους χώρους και στα μέσα μαζικής συγκοινωνίας, καθώς προωθεί τα επιβλαβή </w:t>
      </w:r>
      <w:proofErr w:type="spellStart"/>
      <w:r w:rsidRPr="00770203">
        <w:t>έμφυλα</w:t>
      </w:r>
      <w:proofErr w:type="spellEnd"/>
      <w:r w:rsidRPr="00770203">
        <w:t xml:space="preserve"> στερεότυπα· </w:t>
      </w:r>
    </w:p>
    <w:p w14:paraId="315213B2" w14:textId="68241AAD" w:rsidR="003B351E" w:rsidRPr="00770203" w:rsidRDefault="00FF04B6" w:rsidP="00126E5F">
      <w:pPr>
        <w:numPr>
          <w:ilvl w:val="0"/>
          <w:numId w:val="6"/>
        </w:numPr>
        <w:ind w:left="1134" w:hanging="567"/>
      </w:pPr>
      <w:r w:rsidRPr="00770203">
        <w:t xml:space="preserve">να λαμβάνει συστηματικά υπόψη την ασφάλεια και τις ανάγκες των γυναικών κατά τη λήψη αποφάσεων για δημοσιονομικά μέτρα που σχετίζονται με τις δημόσιες υπηρεσίες, όπως ο δημόσιος φωτισμός, οι δημόσιες συγκοινωνίες, ή για την παροχή πόρων στις κοινωνικές υπηρεσίες που ασχολούνται με τα θύματα </w:t>
      </w:r>
      <w:proofErr w:type="spellStart"/>
      <w:r w:rsidRPr="00770203">
        <w:t>έμφυλης</w:t>
      </w:r>
      <w:proofErr w:type="spellEnd"/>
      <w:r w:rsidRPr="00770203">
        <w:t xml:space="preserve"> βίας·</w:t>
      </w:r>
    </w:p>
    <w:p w14:paraId="3CCD35B5" w14:textId="64E5E95A" w:rsidR="00D7578C" w:rsidRPr="00770203" w:rsidRDefault="00D7578C" w:rsidP="00126E5F">
      <w:pPr>
        <w:numPr>
          <w:ilvl w:val="0"/>
          <w:numId w:val="6"/>
        </w:numPr>
        <w:ind w:left="1134" w:hanging="567"/>
      </w:pPr>
      <w:bookmarkStart w:id="0" w:name="_Hlk126162679"/>
      <w:r w:rsidRPr="00770203">
        <w:t xml:space="preserve">να οργανώνει εκπαιδευτικά προγράμματα/κατάρτιση/παρουσιάσεις σε σχολεία και πανεπιστήμια για να συνοδεύσει τα προγράμματα σπουδών για τις σχέσεις και τη σεξουαλικότητα και να αυξήσει την ευαισθητοποίηση από νεαρή ηλικία σχετικά με τον αντίκτυπο της </w:t>
      </w:r>
      <w:proofErr w:type="spellStart"/>
      <w:r w:rsidRPr="00770203">
        <w:t>έμφυλης</w:t>
      </w:r>
      <w:proofErr w:type="spellEnd"/>
      <w:r w:rsidRPr="00770203">
        <w:t xml:space="preserve"> παρενόχλησης και βίας·</w:t>
      </w:r>
      <w:bookmarkEnd w:id="0"/>
    </w:p>
    <w:p w14:paraId="567CF1E6" w14:textId="77777777" w:rsidR="00D7578C" w:rsidRPr="00770203" w:rsidRDefault="00FF04B6" w:rsidP="00126E5F">
      <w:pPr>
        <w:numPr>
          <w:ilvl w:val="0"/>
          <w:numId w:val="6"/>
        </w:numPr>
        <w:ind w:left="1134" w:hanging="567"/>
      </w:pPr>
      <w:r w:rsidRPr="00770203">
        <w:t>να παραμένει σε επαγρύπνηση και να επιβάλλει άμεσες κυρώσεις για περιπτώσεις εμπορίας ανθρώπων και για επιβλαβείς πρακτικές που πλήττουν τις γυναίκες και τα κορίτσια (ακρωτηριασμός των γυναικείων γεννητικών οργάνων, πρώιμοι και καταναγκαστικοί γάμοι, καταναγκαστική στείρωση)·</w:t>
      </w:r>
    </w:p>
    <w:p w14:paraId="0BBC2CCE" w14:textId="77777777" w:rsidR="00D7578C" w:rsidRPr="00770203" w:rsidRDefault="00FF04B6" w:rsidP="00126E5F">
      <w:pPr>
        <w:numPr>
          <w:ilvl w:val="0"/>
          <w:numId w:val="6"/>
        </w:numPr>
        <w:ind w:left="1134" w:hanging="567"/>
      </w:pPr>
      <w:r w:rsidRPr="00770203">
        <w:t xml:space="preserve">να παραμένει σε επαγρύπνηση και να επιδεικνύει μηδενική ανοχή σε κάθε μορφή </w:t>
      </w:r>
      <w:proofErr w:type="spellStart"/>
      <w:r w:rsidRPr="00770203">
        <w:t>έμφυλης</w:t>
      </w:r>
      <w:proofErr w:type="spellEnd"/>
      <w:r w:rsidRPr="00770203">
        <w:t xml:space="preserve"> βίας στο διαδίκτυο·</w:t>
      </w:r>
    </w:p>
    <w:p w14:paraId="6A04C8ED" w14:textId="77777777" w:rsidR="00D7578C" w:rsidRPr="00770203" w:rsidRDefault="00155B5B" w:rsidP="00126E5F">
      <w:pPr>
        <w:numPr>
          <w:ilvl w:val="0"/>
          <w:numId w:val="6"/>
        </w:numPr>
        <w:ind w:left="1134" w:hanging="567"/>
      </w:pPr>
      <w:r w:rsidRPr="00770203">
        <w:t xml:space="preserve">να αυξήσει την ευαισθητοποίηση του κοινού σχετικά με την </w:t>
      </w:r>
      <w:proofErr w:type="spellStart"/>
      <w:r w:rsidRPr="00770203">
        <w:t>έμφυλη</w:t>
      </w:r>
      <w:proofErr w:type="spellEnd"/>
      <w:r w:rsidRPr="00770203">
        <w:t xml:space="preserve"> βία μέσω εκστρατειών επικοινωνίας που θα έχουν ως στόχο την ενημέρωση των θυμάτων σχετικά με το πού και το πώς μπορούν να έχουν πρόσβαση σε υπηρεσίες υποστήριξης, με τις δραστηριότητες αυτές να κλιμακώνονται γύρω από τη Διεθνή Ημέρα για την Εξάλειψη της Βίας κατά των Γυναικών (25 Νοεμβρίου)· </w:t>
      </w:r>
    </w:p>
    <w:p w14:paraId="0000002D" w14:textId="1BA154B6" w:rsidR="00D50B28" w:rsidRPr="00770203" w:rsidRDefault="00FF04B6" w:rsidP="00126E5F">
      <w:pPr>
        <w:numPr>
          <w:ilvl w:val="0"/>
          <w:numId w:val="6"/>
        </w:numPr>
        <w:ind w:left="1134" w:hanging="567"/>
      </w:pPr>
      <w:r w:rsidRPr="00770203">
        <w:lastRenderedPageBreak/>
        <w:t xml:space="preserve">να αποτελέσει παράδειγμα προς μίμηση ως προς την οργάνωση και τη λειτουργία για την τοπική/περιφερειακή αρχή τ__ _____________. </w:t>
      </w:r>
    </w:p>
    <w:p w14:paraId="173B93C6" w14:textId="77777777" w:rsidR="003D6677" w:rsidRPr="00770203" w:rsidRDefault="003D6677" w:rsidP="00126E5F"/>
    <w:p w14:paraId="242C6266" w14:textId="4C1B334E" w:rsidR="003D6677" w:rsidRPr="00770203" w:rsidRDefault="003D6677" w:rsidP="00456376">
      <w:pPr>
        <w:overflowPunct w:val="0"/>
        <w:autoSpaceDE w:val="0"/>
        <w:autoSpaceDN w:val="0"/>
        <w:adjustRightInd w:val="0"/>
        <w:jc w:val="center"/>
        <w:textAlignment w:val="baseline"/>
      </w:pPr>
      <w:r w:rsidRPr="00770203">
        <w:t>_____________</w:t>
      </w:r>
    </w:p>
    <w:sectPr w:rsidR="003D6677" w:rsidRPr="00770203" w:rsidSect="00770203">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D9761F68"/>
    <w:lvl w:ilvl="0">
      <w:start w:val="1"/>
      <w:numFmt w:val="decimal"/>
      <w:lvlText w:val="%1."/>
      <w:lvlJc w:val="left"/>
      <w:pPr>
        <w:ind w:left="720" w:hanging="360"/>
      </w:pPr>
      <w:rPr>
        <w:u w:val="none"/>
      </w:rPr>
    </w:lvl>
    <w:lvl w:ilvl="1">
      <w:start w:val="1"/>
      <mc:AlternateContent>
        <mc:Choice Requires="w14">
          <w:numFmt w:val="custom" w:format="α, β, γ, ..."/>
        </mc:Choice>
        <mc:Fallback>
          <w:numFmt w:val="decimal"/>
        </mc:Fallback>
      </mc:AlternateConten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mc:AlternateContent>
        <mc:Choice Requires="w14">
          <w:numFmt w:val="custom" w:format="α, β, γ, ..."/>
        </mc:Choice>
        <mc:Fallback>
          <w:numFmt w:val="decimal"/>
        </mc:Fallback>
      </mc:AlternateContent>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mc:AlternateContent>
        <mc:Choice Requires="w14">
          <w:numFmt w:val="custom" w:format="α, β, γ, ..."/>
        </mc:Choice>
        <mc:Fallback>
          <w:numFmt w:val="decimal"/>
        </mc:Fallback>
      </mc:AlternateContent>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C9881E20"/>
    <w:lvl w:ilvl="0">
      <w:start w:val="1"/>
      <mc:AlternateContent>
        <mc:Choice Requires="w14">
          <w:numFmt w:val="custom" w:format="Α, Β, Γ, ..."/>
        </mc:Choice>
        <mc:Fallback>
          <w:numFmt w:val="decimal"/>
        </mc:Fallback>
      </mc:AlternateContent>
      <w:lvlText w:val="%1."/>
      <w:lvlJc w:val="left"/>
      <w:pPr>
        <w:ind w:left="1353" w:hanging="360"/>
      </w:pPr>
      <w:rPr>
        <w:u w:val="none"/>
      </w:rPr>
    </w:lvl>
    <w:lvl w:ilvl="1">
      <w:start w:val="1"/>
      <mc:AlternateContent>
        <mc:Choice Requires="w14">
          <w:numFmt w:val="custom" w:format="α, β, γ, ..."/>
        </mc:Choice>
        <mc:Fallback>
          <w:numFmt w:val="decimal"/>
        </mc:Fallback>
      </mc:AlternateConten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mc:AlternateContent>
        <mc:Choice Requires="w14">
          <w:numFmt w:val="custom" w:format="α, β, γ, ..."/>
        </mc:Choice>
        <mc:Fallback>
          <w:numFmt w:val="decimal"/>
        </mc:Fallback>
      </mc:AlternateContent>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mc:AlternateContent>
        <mc:Choice Requires="w14">
          <w:numFmt w:val="custom" w:format="α, β, γ, ..."/>
        </mc:Choice>
        <mc:Fallback>
          <w:numFmt w:val="decimal"/>
        </mc:Fallback>
      </mc:AlternateContent>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45F8A91C"/>
    <w:lvl w:ilvl="0">
      <w:start w:val="1"/>
      <mc:AlternateContent>
        <mc:Choice Requires="w14">
          <w:numFmt w:val="custom" w:format="Α, Β, Γ, ..."/>
        </mc:Choice>
        <mc:Fallback>
          <w:numFmt w:val="decimal"/>
        </mc:Fallback>
      </mc:AlternateContent>
      <w:lvlText w:val="%1."/>
      <w:lvlJc w:val="left"/>
      <w:pPr>
        <w:ind w:left="720" w:hanging="360"/>
      </w:pPr>
      <w:rPr>
        <w:u w:val="none"/>
      </w:rPr>
    </w:lvl>
    <w:lvl w:ilvl="1">
      <w:start w:val="1"/>
      <mc:AlternateContent>
        <mc:Choice Requires="w14">
          <w:numFmt w:val="custom" w:format="α, β, γ, ..."/>
        </mc:Choice>
        <mc:Fallback>
          <w:numFmt w:val="decimal"/>
        </mc:Fallback>
      </mc:AlternateConten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mc:AlternateContent>
        <mc:Choice Requires="w14">
          <w:numFmt w:val="custom" w:format="α, β, γ, ..."/>
        </mc:Choice>
        <mc:Fallback>
          <w:numFmt w:val="decimal"/>
        </mc:Fallback>
      </mc:AlternateContent>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mc:AlternateContent>
        <mc:Choice Requires="w14">
          <w:numFmt w:val="custom" w:format="α, β, γ, ..."/>
        </mc:Choice>
        <mc:Fallback>
          <w:numFmt w:val="decimal"/>
        </mc:Fallback>
      </mc:AlternateContent>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0D3C158A"/>
    <w:lvl w:ilvl="0">
      <w:start w:val="1"/>
      <w:numFmt w:val="decimal"/>
      <w:lvlText w:val="%1."/>
      <w:lvlJc w:val="left"/>
      <w:pPr>
        <w:ind w:left="720" w:hanging="360"/>
      </w:pPr>
      <w:rPr>
        <w:u w:val="none"/>
      </w:rPr>
    </w:lvl>
    <w:lvl w:ilvl="1">
      <w:start w:val="1"/>
      <mc:AlternateContent>
        <mc:Choice Requires="w14">
          <w:numFmt w:val="custom" w:format="α, β, γ, ..."/>
        </mc:Choice>
        <mc:Fallback>
          <w:numFmt w:val="decimal"/>
        </mc:Fallback>
      </mc:AlternateConten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mc:AlternateContent>
        <mc:Choice Requires="w14">
          <w:numFmt w:val="custom" w:format="α, β, γ, ..."/>
        </mc:Choice>
        <mc:Fallback>
          <w:numFmt w:val="decimal"/>
        </mc:Fallback>
      </mc:AlternateContent>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mc:AlternateContent>
        <mc:Choice Requires="w14">
          <w:numFmt w:val="custom" w:format="α, β, γ, ..."/>
        </mc:Choice>
        <mc:Fallback>
          <w:numFmt w:val="decimal"/>
        </mc:Fallback>
      </mc:AlternateContent>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EDF8DF2E"/>
    <w:lvl w:ilvl="0">
      <w:start w:val="1"/>
      <w:numFmt w:val="decimal"/>
      <w:lvlText w:val="%1."/>
      <w:lvlJc w:val="left"/>
      <w:pPr>
        <w:ind w:left="720" w:hanging="360"/>
      </w:pPr>
      <w:rPr>
        <w:u w:val="none"/>
      </w:rPr>
    </w:lvl>
    <w:lvl w:ilvl="1">
      <w:start w:val="1"/>
      <mc:AlternateContent>
        <mc:Choice Requires="w14">
          <w:numFmt w:val="custom" w:format="α, β, γ, ..."/>
        </mc:Choice>
        <mc:Fallback>
          <w:numFmt w:val="decimal"/>
        </mc:Fallback>
      </mc:AlternateContent>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mc:AlternateContent>
        <mc:Choice Requires="w14">
          <w:numFmt w:val="custom" w:format="α, β, γ, ..."/>
        </mc:Choice>
        <mc:Fallback>
          <w:numFmt w:val="decimal"/>
        </mc:Fallback>
      </mc:AlternateContent>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mc:AlternateContent>
        <mc:Choice Requires="w14">
          <w:numFmt w:val="custom" w:format="α, β, γ, ..."/>
        </mc:Choice>
        <mc:Fallback>
          <w:numFmt w:val="decimal"/>
        </mc:Fallback>
      </mc:AlternateContent>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3B43"/>
    <w:rsid w:val="0000498C"/>
    <w:rsid w:val="00012216"/>
    <w:rsid w:val="00044D8E"/>
    <w:rsid w:val="00057DE2"/>
    <w:rsid w:val="00081606"/>
    <w:rsid w:val="000A6124"/>
    <w:rsid w:val="000A750B"/>
    <w:rsid w:val="000D09BE"/>
    <w:rsid w:val="000D14A2"/>
    <w:rsid w:val="000E2371"/>
    <w:rsid w:val="000F413D"/>
    <w:rsid w:val="000F7591"/>
    <w:rsid w:val="0010194E"/>
    <w:rsid w:val="00126E5F"/>
    <w:rsid w:val="00137B8F"/>
    <w:rsid w:val="00155B5B"/>
    <w:rsid w:val="001A5707"/>
    <w:rsid w:val="001F01E6"/>
    <w:rsid w:val="00236DF8"/>
    <w:rsid w:val="00260BFF"/>
    <w:rsid w:val="002A262C"/>
    <w:rsid w:val="002F72E6"/>
    <w:rsid w:val="00321301"/>
    <w:rsid w:val="0032527B"/>
    <w:rsid w:val="00350448"/>
    <w:rsid w:val="0036345D"/>
    <w:rsid w:val="00383F5D"/>
    <w:rsid w:val="003B351E"/>
    <w:rsid w:val="003C5B7C"/>
    <w:rsid w:val="003D0AC1"/>
    <w:rsid w:val="003D59C7"/>
    <w:rsid w:val="003D6677"/>
    <w:rsid w:val="003F5D79"/>
    <w:rsid w:val="00431769"/>
    <w:rsid w:val="0043276B"/>
    <w:rsid w:val="0043707C"/>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70203"/>
    <w:rsid w:val="007750C5"/>
    <w:rsid w:val="0078512B"/>
    <w:rsid w:val="007C0121"/>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47699"/>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l-GR"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el-GR" w:eastAsia="en-US"/>
    </w:rPr>
  </w:style>
  <w:style w:type="character" w:customStyle="1" w:styleId="Heading2Char">
    <w:name w:val="Heading 2 Char"/>
    <w:basedOn w:val="DefaultParagraphFont"/>
    <w:link w:val="Heading2"/>
    <w:rsid w:val="000E2371"/>
    <w:rPr>
      <w:lang w:val="el-GR" w:eastAsia="en-US"/>
    </w:rPr>
  </w:style>
  <w:style w:type="character" w:customStyle="1" w:styleId="Heading3Char">
    <w:name w:val="Heading 3 Char"/>
    <w:basedOn w:val="DefaultParagraphFont"/>
    <w:link w:val="Heading3"/>
    <w:rsid w:val="000E2371"/>
    <w:rPr>
      <w:lang w:val="el-GR" w:eastAsia="en-US"/>
    </w:rPr>
  </w:style>
  <w:style w:type="character" w:customStyle="1" w:styleId="Heading4Char">
    <w:name w:val="Heading 4 Char"/>
    <w:basedOn w:val="DefaultParagraphFont"/>
    <w:link w:val="Heading4"/>
    <w:rsid w:val="000E2371"/>
    <w:rPr>
      <w:lang w:val="el-GR" w:eastAsia="en-US"/>
    </w:rPr>
  </w:style>
  <w:style w:type="character" w:customStyle="1" w:styleId="Heading5Char">
    <w:name w:val="Heading 5 Char"/>
    <w:basedOn w:val="DefaultParagraphFont"/>
    <w:link w:val="Heading5"/>
    <w:rsid w:val="000E2371"/>
    <w:rPr>
      <w:lang w:val="el-GR" w:eastAsia="en-US"/>
    </w:rPr>
  </w:style>
  <w:style w:type="character" w:customStyle="1" w:styleId="Heading6Char">
    <w:name w:val="Heading 6 Char"/>
    <w:basedOn w:val="DefaultParagraphFont"/>
    <w:link w:val="Heading6"/>
    <w:rsid w:val="000E2371"/>
    <w:rPr>
      <w:lang w:val="el-GR" w:eastAsia="en-US"/>
    </w:rPr>
  </w:style>
  <w:style w:type="character" w:customStyle="1" w:styleId="Heading7Char">
    <w:name w:val="Heading 7 Char"/>
    <w:basedOn w:val="DefaultParagraphFont"/>
    <w:link w:val="Heading7"/>
    <w:rsid w:val="000E2371"/>
    <w:rPr>
      <w:lang w:val="el-GR" w:eastAsia="en-US"/>
    </w:rPr>
  </w:style>
  <w:style w:type="character" w:customStyle="1" w:styleId="Heading8Char">
    <w:name w:val="Heading 8 Char"/>
    <w:basedOn w:val="DefaultParagraphFont"/>
    <w:link w:val="Heading8"/>
    <w:rsid w:val="000E2371"/>
    <w:rPr>
      <w:lang w:val="el-GR" w:eastAsia="en-US"/>
    </w:rPr>
  </w:style>
  <w:style w:type="character" w:customStyle="1" w:styleId="Heading9Char">
    <w:name w:val="Heading 9 Char"/>
    <w:basedOn w:val="DefaultParagraphFont"/>
    <w:link w:val="Heading9"/>
    <w:rsid w:val="000E2371"/>
    <w:rPr>
      <w:lang w:val="el-GR"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el-GR"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el-GR"/>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el-GR"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el-GR"/>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el-G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PWMHTDDKQ3QZ-1287546590-1426</_dlc_DocId>
    <_dlc_DocIdUrl xmlns="eff9f743-c5e6-45b1-888b-0c3422c38b02">
      <Url>http://dm2016/cor/2023/_layouts/15/DocIdRedir.aspx?ID=PWMHTDDKQ3QZ-1287546590-1426</Url>
      <Description>PWMHTDDKQ3QZ-1287546590-1426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Diomidous Stella</DisplayName>
        <AccountId>1590</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EBB50C-0650-41E5-902A-AB5EC5FF486B}">
  <ds:schemaRefs>
    <ds:schemaRef ds:uri="http://schemas.microsoft.com/sharepoint/events"/>
  </ds:schemaRefs>
</ds:datastoreItem>
</file>

<file path=customXml/itemProps2.xml><?xml version="1.0" encoding="utf-8"?>
<ds:datastoreItem xmlns:ds="http://schemas.openxmlformats.org/officeDocument/2006/customXml" ds:itemID="{6B407707-E7DF-435E-A7E3-C678937CB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14123-D816-4F3F-9AAB-9F12889959E7}">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D5ECE59F-87FC-40D3-B3B4-E088E07A1D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Επικαιροποιημένο ψήφισμα σχετικά με τις γυναίκες_EN</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12</cp:revision>
  <dcterms:created xsi:type="dcterms:W3CDTF">2023-02-06T09:51:00Z</dcterms:created>
  <dcterms:modified xsi:type="dcterms:W3CDTF">2023-02-18T15:55:00Z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99772b42-ce38-4f18-b6ca-e3413d41f489</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EN|f2175f21-25d7-44a3-96da-d6a61b075e1b;NL|55c6556c-b4f4-441d-9acf-c498d4f838bd;SV|c2ed69e7-a339-43d7-8f22-d93680a92aa0;CS|72f9705b-0217-4fd3-bea2-cbc7ed80e26e;DE|f6b31e5a-26fa-4935-b661-318e46daf27e;MT|7df99101-6854-4a26-b53a-b88c0da02c26;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28;#BG|1a1b3951-7821-4e6a-85f5-5673fc08bd2c;#21;#CS|72f9705b-0217-4fd3-bea2-cbc7ed80e26e;#20;#NL|55c6556c-b4f4-441d-9acf-c498d4f838bd;#19;#SK|46d9fce0-ef79-4f71-b89b-cd6aa82426b8;#18;#PL|1e03da61-4678-4e07-b136-b5024ca9197b;#17;#DE|f6b31e5a-26fa-4935-b661-318e46daf27e;#14;#RO|feb747a2-64cd-4299-af12-4833ddc30497;#13;#MT|7df99101-6854-4a26-b53a-b88c0da02c26;#10;#SV|c2ed69e7-a339-43d7-8f22-d93680a92aa0;#7;#Final|ea5e6674-7b27-4bac-b091-73adbb394efe;#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35;#EL|6d4f4d51-af9b-4650-94b4-4276bee85c91</vt:lpwstr>
  </property>
</Properties>
</file>