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B28" w:rsidRPr="00E91B41" w:rsidRDefault="00FF04B6" w:rsidP="00126E5F">
      <w:pPr>
        <w:rPr>
          <w:i/>
          <w:lang w:val="en-GB"/>
        </w:rPr>
      </w:pPr>
      <w:r w:rsidRPr="00E91B41">
        <w:rPr>
          <w:i/>
          <w:lang w:val="en-GB"/>
        </w:rPr>
        <w:t xml:space="preserve">The text of the sample resolution below can be adapted by interested municipalities, cities or regions to the specificities of their local or regional context. </w:t>
      </w:r>
    </w:p>
    <w:p w14:paraId="00000002" w14:textId="511CB677" w:rsidR="00D50B28" w:rsidRPr="00E91B41" w:rsidRDefault="00D50B28" w:rsidP="00126E5F">
      <w:pPr>
        <w:rPr>
          <w:b/>
          <w:i/>
          <w:lang w:val="en-GB"/>
        </w:rPr>
      </w:pPr>
    </w:p>
    <w:p w14:paraId="00000003" w14:textId="79A883B8" w:rsidR="00D50B28" w:rsidRPr="00E91B41" w:rsidRDefault="00FF04B6" w:rsidP="00126E5F">
      <w:pPr>
        <w:rPr>
          <w:b/>
          <w:lang w:val="en-GB"/>
        </w:rPr>
      </w:pPr>
      <w:r w:rsidRPr="00E91B41">
        <w:rPr>
          <w:b/>
          <w:lang w:val="en-GB"/>
        </w:rPr>
        <w:t>Sample Municipal/City/Regional Council Resolution</w:t>
      </w:r>
      <w:r w:rsidR="003D6677">
        <w:rPr>
          <w:b/>
          <w:lang w:val="en-GB"/>
        </w:rPr>
        <w:t xml:space="preserve"> </w:t>
      </w:r>
      <w:r w:rsidRPr="00E91B41">
        <w:rPr>
          <w:b/>
          <w:lang w:val="en-GB"/>
        </w:rPr>
        <w:t>ON DECLARING _____________________</w:t>
      </w:r>
      <w:r w:rsidR="00126E5F">
        <w:rPr>
          <w:b/>
          <w:lang w:val="en-GB"/>
        </w:rPr>
        <w:t>______</w:t>
      </w:r>
      <w:r w:rsidRPr="00E91B41">
        <w:rPr>
          <w:b/>
          <w:lang w:val="en-GB"/>
        </w:rPr>
        <w:t xml:space="preserve">_ (name of the city/region) a </w:t>
      </w:r>
      <w:r w:rsidR="009A6112" w:rsidRPr="00E91B41">
        <w:rPr>
          <w:b/>
          <w:lang w:val="en-GB"/>
        </w:rPr>
        <w:t>"</w:t>
      </w:r>
      <w:r w:rsidRPr="00E91B41">
        <w:rPr>
          <w:b/>
          <w:lang w:val="en-GB"/>
        </w:rPr>
        <w:t>S</w:t>
      </w:r>
      <w:r w:rsidR="009A6112" w:rsidRPr="00E91B41">
        <w:rPr>
          <w:b/>
          <w:lang w:val="en-GB"/>
        </w:rPr>
        <w:t>afe Place For Women"</w:t>
      </w:r>
    </w:p>
    <w:p w14:paraId="00000004" w14:textId="77777777" w:rsidR="00D50B28" w:rsidRPr="00E91B41" w:rsidRDefault="00D50B28" w:rsidP="00126E5F">
      <w:pPr>
        <w:rPr>
          <w:lang w:val="en-GB"/>
        </w:rPr>
      </w:pPr>
    </w:p>
    <w:p w14:paraId="00000005" w14:textId="6D2669EA" w:rsidR="00D50B28" w:rsidRPr="00E91B41" w:rsidRDefault="00FF04B6" w:rsidP="00126E5F">
      <w:pPr>
        <w:rPr>
          <w:lang w:val="en-GB"/>
        </w:rPr>
      </w:pPr>
      <w:r w:rsidRPr="00E91B41">
        <w:rPr>
          <w:lang w:val="en-GB"/>
        </w:rPr>
        <w:t>The Municipal/Regional Council (delete as appropriate) of __________________</w:t>
      </w:r>
      <w:r w:rsidR="00126E5F">
        <w:rPr>
          <w:lang w:val="en-GB"/>
        </w:rPr>
        <w:t>____</w:t>
      </w:r>
      <w:r w:rsidRPr="00E91B41">
        <w:rPr>
          <w:lang w:val="en-GB"/>
        </w:rPr>
        <w:t>____ (name of the city/region),</w:t>
      </w:r>
    </w:p>
    <w:p w14:paraId="00000006" w14:textId="77777777" w:rsidR="00D50B28" w:rsidRPr="00E91B41" w:rsidRDefault="00D50B28" w:rsidP="00126E5F">
      <w:pPr>
        <w:rPr>
          <w:lang w:val="en-GB"/>
        </w:rPr>
      </w:pPr>
    </w:p>
    <w:p w14:paraId="00000007" w14:textId="77777777" w:rsidR="00D50B28" w:rsidRPr="00E91B41" w:rsidRDefault="00FF04B6" w:rsidP="00E91B41">
      <w:pPr>
        <w:pStyle w:val="ListParagraph"/>
        <w:numPr>
          <w:ilvl w:val="0"/>
          <w:numId w:val="11"/>
        </w:numPr>
        <w:tabs>
          <w:tab w:val="clear" w:pos="0"/>
        </w:tabs>
        <w:ind w:left="850"/>
        <w:rPr>
          <w:color w:val="000000" w:themeColor="text1"/>
          <w:lang w:val="en-GB"/>
        </w:rPr>
      </w:pPr>
      <w:r w:rsidRPr="00E91B41">
        <w:rPr>
          <w:color w:val="000000" w:themeColor="text1"/>
          <w:lang w:val="en-GB"/>
        </w:rPr>
        <w:t>having regard to the Universal Declaration of Human Rights,</w:t>
      </w:r>
    </w:p>
    <w:p w14:paraId="00000008" w14:textId="77777777" w:rsidR="00D50B28" w:rsidRPr="00E91B41" w:rsidRDefault="00FF04B6" w:rsidP="00E91B41">
      <w:pPr>
        <w:pStyle w:val="ListParagraph"/>
        <w:numPr>
          <w:ilvl w:val="0"/>
          <w:numId w:val="11"/>
        </w:numPr>
        <w:tabs>
          <w:tab w:val="clear" w:pos="0"/>
        </w:tabs>
        <w:ind w:left="850"/>
        <w:rPr>
          <w:color w:val="000000" w:themeColor="text1"/>
          <w:lang w:val="en-GB"/>
        </w:rPr>
      </w:pPr>
      <w:r w:rsidRPr="00E91B41">
        <w:rPr>
          <w:color w:val="000000" w:themeColor="text1"/>
          <w:lang w:val="en-GB"/>
        </w:rPr>
        <w:t>having regard to Articles 2 and 3 of the Treaty on European Union (TEU),</w:t>
      </w:r>
    </w:p>
    <w:p w14:paraId="00000009" w14:textId="77777777" w:rsidR="00D50B28" w:rsidRPr="00E91B41" w:rsidRDefault="00FF04B6" w:rsidP="00E91B41">
      <w:pPr>
        <w:pStyle w:val="ListParagraph"/>
        <w:numPr>
          <w:ilvl w:val="0"/>
          <w:numId w:val="11"/>
        </w:numPr>
        <w:tabs>
          <w:tab w:val="clear" w:pos="0"/>
        </w:tabs>
        <w:ind w:left="850"/>
        <w:rPr>
          <w:color w:val="000000" w:themeColor="text1"/>
          <w:lang w:val="en-GB"/>
        </w:rPr>
      </w:pPr>
      <w:r w:rsidRPr="00E91B41">
        <w:rPr>
          <w:color w:val="000000" w:themeColor="text1"/>
          <w:lang w:val="en-GB"/>
        </w:rPr>
        <w:t>having regard to the Charter of Fundamental Rights of the European Union,</w:t>
      </w:r>
    </w:p>
    <w:p w14:paraId="0000000A" w14:textId="77777777" w:rsidR="00D50B28" w:rsidRPr="00E91B41" w:rsidRDefault="00FF04B6" w:rsidP="00E91B41">
      <w:pPr>
        <w:pStyle w:val="ListParagraph"/>
        <w:numPr>
          <w:ilvl w:val="0"/>
          <w:numId w:val="11"/>
        </w:numPr>
        <w:tabs>
          <w:tab w:val="clear" w:pos="0"/>
        </w:tabs>
        <w:ind w:left="850"/>
        <w:rPr>
          <w:color w:val="000000" w:themeColor="text1"/>
          <w:lang w:val="en-GB"/>
        </w:rPr>
      </w:pPr>
      <w:r w:rsidRPr="00E91B41">
        <w:rPr>
          <w:color w:val="000000" w:themeColor="text1"/>
          <w:lang w:val="en-GB"/>
        </w:rPr>
        <w:t xml:space="preserve">having regard to the European Convention on Human Rights and the related case-law of the European Court of Human Rights, </w:t>
      </w:r>
    </w:p>
    <w:p w14:paraId="0000000B" w14:textId="77777777" w:rsidR="00D50B28" w:rsidRPr="00E91B41" w:rsidRDefault="00FF04B6" w:rsidP="00E91B41">
      <w:pPr>
        <w:pStyle w:val="ListParagraph"/>
        <w:numPr>
          <w:ilvl w:val="0"/>
          <w:numId w:val="11"/>
        </w:numPr>
        <w:tabs>
          <w:tab w:val="clear" w:pos="0"/>
        </w:tabs>
        <w:ind w:left="850"/>
        <w:rPr>
          <w:color w:val="000000" w:themeColor="text1"/>
          <w:lang w:val="en-GB"/>
        </w:rPr>
      </w:pPr>
      <w:r w:rsidRPr="00E91B41">
        <w:rPr>
          <w:color w:val="000000" w:themeColor="text1"/>
          <w:lang w:val="en-GB"/>
        </w:rPr>
        <w:t>having regard to the Council of Europe Convention on preventing and combating violence against women and domestic violence (Istanbul Convention),</w:t>
      </w:r>
    </w:p>
    <w:p w14:paraId="0000000C" w14:textId="77777777" w:rsidR="00D50B28" w:rsidRPr="00E91B41" w:rsidRDefault="00FF04B6" w:rsidP="00E91B41">
      <w:pPr>
        <w:pStyle w:val="ListParagraph"/>
        <w:numPr>
          <w:ilvl w:val="0"/>
          <w:numId w:val="11"/>
        </w:numPr>
        <w:tabs>
          <w:tab w:val="clear" w:pos="0"/>
        </w:tabs>
        <w:ind w:left="850"/>
        <w:rPr>
          <w:color w:val="000000" w:themeColor="text1"/>
          <w:lang w:val="en-GB"/>
        </w:rPr>
      </w:pPr>
      <w:r w:rsidRPr="00E91B41">
        <w:rPr>
          <w:color w:val="000000" w:themeColor="text1"/>
          <w:lang w:val="en-GB"/>
        </w:rPr>
        <w:t>having regard to the Commission proposal for a directive of 8 March 2022 on combating violence against women and domestic violence,</w:t>
      </w:r>
    </w:p>
    <w:p w14:paraId="0000000D" w14:textId="2F789E2C" w:rsidR="00D50B28" w:rsidRPr="00E91B41"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lang w:val="en-GB"/>
        </w:rPr>
      </w:pPr>
      <w:r w:rsidRPr="00E91B41">
        <w:rPr>
          <w:color w:val="000000" w:themeColor="text1"/>
          <w:sz w:val="22"/>
          <w:szCs w:val="22"/>
          <w:lang w:val="en-GB"/>
        </w:rPr>
        <w:t xml:space="preserve">having regard to the Commission communication of 5 March 2020 entitled </w:t>
      </w:r>
      <w:r w:rsidRPr="00E91B41">
        <w:rPr>
          <w:i/>
          <w:iCs/>
          <w:color w:val="000000" w:themeColor="text1"/>
          <w:sz w:val="22"/>
          <w:szCs w:val="22"/>
          <w:lang w:val="en-GB"/>
        </w:rPr>
        <w:t>A Union of Equality: Gender Equality Strategy 2020-2025</w:t>
      </w:r>
      <w:r w:rsidRPr="00E91B41">
        <w:rPr>
          <w:color w:val="000000" w:themeColor="text1"/>
          <w:sz w:val="22"/>
          <w:szCs w:val="22"/>
          <w:lang w:val="en-GB"/>
        </w:rPr>
        <w:t>,</w:t>
      </w:r>
    </w:p>
    <w:p w14:paraId="0000000E" w14:textId="77777777" w:rsidR="00D50B28" w:rsidRPr="00E91B41" w:rsidRDefault="00FF04B6" w:rsidP="00E91B41">
      <w:pPr>
        <w:pStyle w:val="ListParagraph"/>
        <w:numPr>
          <w:ilvl w:val="0"/>
          <w:numId w:val="11"/>
        </w:numPr>
        <w:tabs>
          <w:tab w:val="clear" w:pos="0"/>
        </w:tabs>
        <w:ind w:left="850"/>
      </w:pPr>
      <w:r w:rsidRPr="00E91B41">
        <w:t>having regard to the European Parliament resolution of 16 September 2021 with recommendations to the Commission on identifying gender-based violence as a new area of crime listed in Article 83(1) TFEU,</w:t>
      </w:r>
    </w:p>
    <w:p w14:paraId="0000000F" w14:textId="6FB53ADD" w:rsidR="00D50B28" w:rsidRPr="00CF1E0A" w:rsidRDefault="00FF04B6" w:rsidP="00E91B41">
      <w:pPr>
        <w:pStyle w:val="ListParagraph"/>
        <w:numPr>
          <w:ilvl w:val="0"/>
          <w:numId w:val="11"/>
        </w:numPr>
        <w:tabs>
          <w:tab w:val="clear" w:pos="0"/>
        </w:tabs>
        <w:ind w:left="850"/>
      </w:pPr>
      <w:r w:rsidRPr="00CF1E0A">
        <w:t xml:space="preserve">having regard to the </w:t>
      </w:r>
      <w:r w:rsidRPr="00E91B41">
        <w:t xml:space="preserve">European Parliament resolution </w:t>
      </w:r>
      <w:r w:rsidRPr="00CF1E0A">
        <w:t>of 12 February 2020</w:t>
      </w:r>
      <w:r w:rsidRPr="00E91B41">
        <w:t xml:space="preserve"> on an EU strategy to put an end to female genital mutilation around the world</w:t>
      </w:r>
      <w:r w:rsidR="00976017" w:rsidRPr="00E91B41">
        <w:t>,</w:t>
      </w:r>
    </w:p>
    <w:p w14:paraId="00000010" w14:textId="77777777" w:rsidR="00D50B28" w:rsidRPr="00E91B41" w:rsidRDefault="00FF04B6" w:rsidP="00E91B41">
      <w:pPr>
        <w:pStyle w:val="ListParagraph"/>
        <w:numPr>
          <w:ilvl w:val="0"/>
          <w:numId w:val="11"/>
        </w:numPr>
        <w:tabs>
          <w:tab w:val="clear" w:pos="0"/>
        </w:tabs>
        <w:ind w:left="850"/>
      </w:pPr>
      <w:r w:rsidRPr="00E91B41">
        <w:t>having regard to the UN Convention on the Elimination of all Forms of Discrimination against Women (CEDAW),</w:t>
      </w:r>
    </w:p>
    <w:p w14:paraId="00000011" w14:textId="4158C624" w:rsidR="00D50B28" w:rsidRPr="00E91B41" w:rsidRDefault="00FF04B6" w:rsidP="00E91B41">
      <w:pPr>
        <w:pStyle w:val="ListParagraph"/>
        <w:numPr>
          <w:ilvl w:val="0"/>
          <w:numId w:val="11"/>
        </w:numPr>
        <w:tabs>
          <w:tab w:val="clear" w:pos="0"/>
        </w:tabs>
        <w:ind w:left="850"/>
      </w:pPr>
      <w:r w:rsidRPr="00E91B41">
        <w:t xml:space="preserve">having regard to International </w:t>
      </w:r>
      <w:proofErr w:type="spellStart"/>
      <w:r w:rsidRPr="00E91B41">
        <w:t>Labour</w:t>
      </w:r>
      <w:proofErr w:type="spellEnd"/>
      <w:r w:rsidRPr="00E91B41">
        <w:t xml:space="preserve"> Organization Convention 190 on Eliminating Violence and Harassment in the World of Work,</w:t>
      </w:r>
    </w:p>
    <w:p w14:paraId="00000012" w14:textId="42155ADE" w:rsidR="00D50B28" w:rsidRPr="00CF1E0A" w:rsidRDefault="00FF04B6" w:rsidP="00E91B41">
      <w:pPr>
        <w:pStyle w:val="ListParagraph"/>
        <w:numPr>
          <w:ilvl w:val="0"/>
          <w:numId w:val="11"/>
        </w:numPr>
        <w:tabs>
          <w:tab w:val="clear" w:pos="0"/>
        </w:tabs>
        <w:ind w:left="850"/>
      </w:pPr>
      <w:r w:rsidRPr="00E91B41">
        <w:t xml:space="preserve">having regard to United Nations Sustainable Development Goal number 5 </w:t>
      </w:r>
      <w:r w:rsidR="00976017" w:rsidRPr="00E91B41">
        <w:t>"</w:t>
      </w:r>
      <w:r w:rsidRPr="00E91B41">
        <w:t xml:space="preserve">Gender </w:t>
      </w:r>
      <w:r w:rsidR="00976017" w:rsidRPr="00E91B41">
        <w:t>Equality"</w:t>
      </w:r>
      <w:r w:rsidRPr="00E91B41">
        <w:t>,</w:t>
      </w:r>
    </w:p>
    <w:p w14:paraId="00000013" w14:textId="2F63E25F" w:rsidR="00D50B28" w:rsidRPr="00E91B41" w:rsidRDefault="00FF04B6" w:rsidP="00E91B41">
      <w:pPr>
        <w:pStyle w:val="ListParagraph"/>
        <w:numPr>
          <w:ilvl w:val="0"/>
          <w:numId w:val="11"/>
        </w:numPr>
        <w:tabs>
          <w:tab w:val="clear" w:pos="0"/>
        </w:tabs>
        <w:ind w:left="850"/>
      </w:pPr>
      <w:r w:rsidRPr="00E91B41">
        <w:t>having regard to the European Parliament resolution of 14 December 2021 with recommendations to the Commission on combating gender-based cyberviolence</w:t>
      </w:r>
      <w:r w:rsidR="00976017" w:rsidRPr="00E91B41">
        <w:t>,</w:t>
      </w:r>
    </w:p>
    <w:p w14:paraId="19B3B425" w14:textId="213F096D" w:rsidR="0088414D" w:rsidRPr="00E91B41" w:rsidRDefault="0088414D" w:rsidP="00E91B41">
      <w:pPr>
        <w:pStyle w:val="ListParagraph"/>
        <w:numPr>
          <w:ilvl w:val="0"/>
          <w:numId w:val="11"/>
        </w:numPr>
        <w:tabs>
          <w:tab w:val="clear" w:pos="0"/>
        </w:tabs>
        <w:ind w:left="850"/>
        <w:rPr>
          <w:lang w:val="en-GB"/>
        </w:rPr>
      </w:pPr>
      <w:r w:rsidRPr="00E91B41">
        <w:rPr>
          <w:lang w:val="en-GB"/>
        </w:rPr>
        <w:t xml:space="preserve">having regard to the council resolution of the region of Valencia on the declaration of the region as "a Safe </w:t>
      </w:r>
      <w:r w:rsidR="00D10CE6" w:rsidRPr="00CF1E0A">
        <w:t>P</w:t>
      </w:r>
      <w:r w:rsidR="00D10CE6" w:rsidRPr="00E91B41">
        <w:rPr>
          <w:lang w:val="en-GB"/>
        </w:rPr>
        <w:t xml:space="preserve">lace </w:t>
      </w:r>
      <w:r w:rsidRPr="00E91B41">
        <w:rPr>
          <w:lang w:val="en-GB"/>
        </w:rPr>
        <w:t xml:space="preserve">for </w:t>
      </w:r>
      <w:r w:rsidR="00D10CE6" w:rsidRPr="00CF1E0A">
        <w:t>W</w:t>
      </w:r>
      <w:r w:rsidR="00D10CE6" w:rsidRPr="00E91B41">
        <w:rPr>
          <w:lang w:val="en-GB"/>
        </w:rPr>
        <w:t>omen</w:t>
      </w:r>
      <w:r w:rsidRPr="00E91B41">
        <w:rPr>
          <w:lang w:val="en-GB"/>
        </w:rPr>
        <w:t>".</w:t>
      </w:r>
    </w:p>
    <w:p w14:paraId="00000014" w14:textId="77777777" w:rsidR="00D50B28" w:rsidRPr="00E91B41" w:rsidRDefault="00D50B28" w:rsidP="00126E5F"/>
    <w:p w14:paraId="00000015" w14:textId="77777777" w:rsidR="00D50B28" w:rsidRPr="00E91B41" w:rsidRDefault="00FF04B6" w:rsidP="00126E5F">
      <w:pPr>
        <w:pStyle w:val="ListParagraph"/>
        <w:numPr>
          <w:ilvl w:val="0"/>
          <w:numId w:val="5"/>
        </w:numPr>
        <w:shd w:val="clear" w:color="auto" w:fill="FFFFFF"/>
        <w:ind w:left="1134" w:hanging="567"/>
      </w:pPr>
      <w:r w:rsidRPr="00E91B41">
        <w:t xml:space="preserve">whereas equality between women and men is a core value of the Union and a fundamental right enshrined in the Treaties and the Charter of Fundamental Rights of the European Union; </w:t>
      </w:r>
    </w:p>
    <w:p w14:paraId="00000016" w14:textId="77777777" w:rsidR="00D50B28" w:rsidRPr="00E91B41" w:rsidRDefault="00FF04B6" w:rsidP="00126E5F">
      <w:pPr>
        <w:pStyle w:val="ListParagraph"/>
        <w:numPr>
          <w:ilvl w:val="0"/>
          <w:numId w:val="5"/>
        </w:numPr>
        <w:shd w:val="clear" w:color="auto" w:fill="FFFFFF"/>
        <w:ind w:left="1134" w:hanging="567"/>
      </w:pPr>
      <w:r w:rsidRPr="00E91B41">
        <w:t>whereas combating gender-based violence in the EU is a shared responsibility, requiring joint efforts and action at every level of government, and especially by local and regional authorities, which have a key role to play in this, being the closest to people at grassroots level;</w:t>
      </w:r>
    </w:p>
    <w:p w14:paraId="547091C0" w14:textId="77777777" w:rsidR="009B4BD2" w:rsidRPr="00E91B41" w:rsidRDefault="00FF04B6" w:rsidP="00126E5F">
      <w:pPr>
        <w:pStyle w:val="ListParagraph"/>
        <w:numPr>
          <w:ilvl w:val="0"/>
          <w:numId w:val="5"/>
        </w:numPr>
        <w:shd w:val="clear" w:color="auto" w:fill="FFFFFF"/>
        <w:ind w:left="1134" w:hanging="567"/>
      </w:pPr>
      <w:r w:rsidRPr="00E91B41">
        <w:t>whereas eliminating</w:t>
      </w:r>
      <w:r w:rsidRPr="00E91B41">
        <w:rPr>
          <w:lang w:val="en-GB"/>
        </w:rPr>
        <w:t xml:space="preserve"> gender</w:t>
      </w:r>
      <w:r w:rsidR="00DE256A" w:rsidRPr="00E91B41">
        <w:rPr>
          <w:lang w:val="en-GB"/>
        </w:rPr>
        <w:t>-</w:t>
      </w:r>
      <w:r w:rsidRPr="00E91B41">
        <w:rPr>
          <w:lang w:val="en-GB"/>
        </w:rPr>
        <w:t xml:space="preserve">based </w:t>
      </w:r>
      <w:r w:rsidR="00DE256A" w:rsidRPr="00E91B41">
        <w:rPr>
          <w:lang w:val="en-GB"/>
        </w:rPr>
        <w:t>violence</w:t>
      </w:r>
      <w:r w:rsidRPr="00E91B41">
        <w:rPr>
          <w:lang w:val="en-GB"/>
        </w:rPr>
        <w:t>, including</w:t>
      </w:r>
      <w:r w:rsidRPr="00E91B41">
        <w:t xml:space="preserve"> male violence against women and girls</w:t>
      </w:r>
      <w:r w:rsidR="00DE256A" w:rsidRPr="00E91B41">
        <w:t>,</w:t>
      </w:r>
      <w:r w:rsidRPr="00E91B41">
        <w:t xml:space="preserve"> is a precondition for the achievement of real gender equality;</w:t>
      </w:r>
    </w:p>
    <w:p w14:paraId="67C856DB" w14:textId="5158BDA7" w:rsidR="00FF4EE4" w:rsidRPr="00E91B41" w:rsidRDefault="00FF04B6" w:rsidP="00126E5F">
      <w:pPr>
        <w:pStyle w:val="ListParagraph"/>
        <w:numPr>
          <w:ilvl w:val="0"/>
          <w:numId w:val="5"/>
        </w:numPr>
        <w:shd w:val="clear" w:color="auto" w:fill="FFFFFF"/>
        <w:ind w:left="1134" w:hanging="567"/>
      </w:pPr>
      <w:r w:rsidRPr="00E91B41">
        <w:lastRenderedPageBreak/>
        <w:t>whereas 31% of women in Europe have experienced physical violence, 5% have been raped in EU countries, around 50 women lose their lives t</w:t>
      </w:r>
      <w:r w:rsidR="00570266" w:rsidRPr="00E91B41">
        <w:t>o gender-based</w:t>
      </w:r>
      <w:r w:rsidRPr="00E91B41">
        <w:t xml:space="preserve"> violence every week and 43% of women have experienced some form of psychological violence by an intimate partner, while it is estimated that violence is still highly under-reported;</w:t>
      </w:r>
    </w:p>
    <w:p w14:paraId="00000019" w14:textId="749DBCAA" w:rsidR="00D50B28" w:rsidRPr="00E91B41" w:rsidRDefault="009C55EF" w:rsidP="00126E5F">
      <w:pPr>
        <w:pStyle w:val="ListParagraph"/>
        <w:numPr>
          <w:ilvl w:val="0"/>
          <w:numId w:val="5"/>
        </w:numPr>
        <w:shd w:val="clear" w:color="auto" w:fill="FFFFFF"/>
        <w:ind w:left="1134" w:hanging="567"/>
      </w:pPr>
      <w:r w:rsidRPr="009C55EF">
        <w:t>whereas gender-based violence, both online and offline</w:t>
      </w:r>
      <w:r w:rsidR="00C261AE">
        <w:t xml:space="preserve">, and the lack of </w:t>
      </w:r>
      <w:r w:rsidRPr="009C55EF">
        <w:t>access to adequate protection put in jeopardy a number of fundamental rights, including the right to life,</w:t>
      </w:r>
      <w:r>
        <w:t xml:space="preserve"> </w:t>
      </w:r>
      <w:r w:rsidR="00976017" w:rsidRPr="00E91B41">
        <w:t xml:space="preserve">the </w:t>
      </w:r>
      <w:r w:rsidR="00FF04B6" w:rsidRPr="00E91B41">
        <w:t xml:space="preserve">right to human dignity, the right to physical and mental integrity, the prohibition of torture and inhuman or degrading treatment or punishment, the prohibition of slavery and forced </w:t>
      </w:r>
      <w:proofErr w:type="spellStart"/>
      <w:r w:rsidR="00FF04B6" w:rsidRPr="00E91B41">
        <w:t>labour</w:t>
      </w:r>
      <w:proofErr w:type="spellEnd"/>
      <w:r w:rsidR="00FF04B6" w:rsidRPr="00E91B41">
        <w:t>, the right to liberty and security and the right to respect for private and family life;</w:t>
      </w:r>
    </w:p>
    <w:p w14:paraId="0000001A" w14:textId="67D82D6F" w:rsidR="00D50B28" w:rsidRPr="00E91B41" w:rsidRDefault="00FF04B6" w:rsidP="00126E5F">
      <w:pPr>
        <w:pStyle w:val="ListParagraph"/>
        <w:numPr>
          <w:ilvl w:val="0"/>
          <w:numId w:val="5"/>
        </w:numPr>
        <w:shd w:val="clear" w:color="auto" w:fill="FFFFFF"/>
        <w:ind w:left="1134" w:hanging="567"/>
      </w:pPr>
      <w:r w:rsidRPr="00E91B41">
        <w:t>whereas gender-related killings of women and girls (femicides) should be a separate category of crimes because the gender-neutral term of homicide overlooks the realities of inequality, oppression and systematic violence against women;</w:t>
      </w:r>
    </w:p>
    <w:p w14:paraId="59209E5F" w14:textId="6F453B37" w:rsidR="006A48E1" w:rsidRPr="00E91B41" w:rsidRDefault="006A48E1" w:rsidP="00126E5F">
      <w:pPr>
        <w:pStyle w:val="ListParagraph"/>
        <w:numPr>
          <w:ilvl w:val="0"/>
          <w:numId w:val="5"/>
        </w:numPr>
        <w:shd w:val="clear" w:color="auto" w:fill="FFFFFF"/>
        <w:ind w:left="1134" w:hanging="567"/>
      </w:pPr>
      <w:r w:rsidRPr="00E91B41">
        <w:rPr>
          <w:rFonts w:eastAsia="Arial"/>
          <w:lang w:val="en-GB"/>
        </w:rPr>
        <w:t>whereas gender-based violence should be identified as an area of crime in the EU under the Treaties; </w:t>
      </w:r>
    </w:p>
    <w:p w14:paraId="0000001B" w14:textId="0A596767" w:rsidR="00D50B28" w:rsidRPr="00E91B41" w:rsidRDefault="00FF04B6" w:rsidP="00126E5F">
      <w:pPr>
        <w:pStyle w:val="ListParagraph"/>
        <w:numPr>
          <w:ilvl w:val="0"/>
          <w:numId w:val="5"/>
        </w:numPr>
        <w:shd w:val="clear" w:color="auto" w:fill="FFFFFF"/>
        <w:ind w:left="1134" w:hanging="567"/>
      </w:pPr>
      <w:r w:rsidRPr="00E91B41">
        <w:t xml:space="preserve">whereas the practices of early and forced marriage and of female genital mutilation, transmitted through traditions and culture, constitute a violation </w:t>
      </w:r>
      <w:r w:rsidR="00976017" w:rsidRPr="00E91B41">
        <w:t>of</w:t>
      </w:r>
      <w:r w:rsidRPr="00E91B41">
        <w:t xml:space="preserve"> the rights of liberty, human dignity</w:t>
      </w:r>
      <w:r w:rsidR="00976017" w:rsidRPr="00E91B41">
        <w:t xml:space="preserve"> and</w:t>
      </w:r>
      <w:r w:rsidRPr="00E91B41">
        <w:t xml:space="preserve"> physical integrity;</w:t>
      </w:r>
    </w:p>
    <w:p w14:paraId="26A48D57" w14:textId="22E094DD" w:rsidR="00AE19A0" w:rsidRPr="00E91B41" w:rsidRDefault="00FF04B6" w:rsidP="00126E5F">
      <w:pPr>
        <w:numPr>
          <w:ilvl w:val="0"/>
          <w:numId w:val="5"/>
        </w:numPr>
        <w:ind w:left="1134" w:hanging="567"/>
      </w:pPr>
      <w:r w:rsidRPr="00E91B41">
        <w:t xml:space="preserve">whereas eliminating gender stereotypes and halting repressive gender practices through progressive educational curricula </w:t>
      </w:r>
      <w:r w:rsidR="00081606" w:rsidRPr="00E91B41">
        <w:t xml:space="preserve">– </w:t>
      </w:r>
      <w:r w:rsidRPr="00E91B41">
        <w:t xml:space="preserve">with pre-school, primary and secondary education cycles playing a key role – is decisive for girls' full empowerment; </w:t>
      </w:r>
    </w:p>
    <w:p w14:paraId="0000001C" w14:textId="304E522F" w:rsidR="00D50B28" w:rsidRPr="00E91B41" w:rsidRDefault="00FF04B6" w:rsidP="00126E5F">
      <w:pPr>
        <w:numPr>
          <w:ilvl w:val="0"/>
          <w:numId w:val="5"/>
        </w:numPr>
        <w:ind w:left="1134" w:hanging="567"/>
      </w:pPr>
      <w:r w:rsidRPr="00E91B41">
        <w:rPr>
          <w:lang w:val="en-GB"/>
        </w:rPr>
        <w:t>whereas avail</w:t>
      </w:r>
      <w:r w:rsidR="00AE19A0" w:rsidRPr="00E91B41">
        <w:rPr>
          <w:lang w:val="en-GB"/>
        </w:rPr>
        <w:t>a</w:t>
      </w:r>
      <w:r w:rsidRPr="00E91B41">
        <w:rPr>
          <w:lang w:val="en-GB"/>
        </w:rPr>
        <w:t xml:space="preserve">bility of comprehensive relationships </w:t>
      </w:r>
      <w:r w:rsidR="00A14CC5">
        <w:rPr>
          <w:lang w:val="en-GB"/>
        </w:rPr>
        <w:t xml:space="preserve">and sexuality </w:t>
      </w:r>
      <w:r w:rsidRPr="00E91B41">
        <w:rPr>
          <w:lang w:val="en-GB"/>
        </w:rPr>
        <w:t xml:space="preserve">education, including specialised educational programmes for boys, </w:t>
      </w:r>
      <w:r w:rsidR="00AE19A0" w:rsidRPr="00E91B41">
        <w:rPr>
          <w:lang w:val="en-GB"/>
        </w:rPr>
        <w:t xml:space="preserve">is an integral part of such progressive curricula and plays </w:t>
      </w:r>
      <w:r w:rsidRPr="00E91B41">
        <w:rPr>
          <w:lang w:val="en-GB"/>
        </w:rPr>
        <w:t xml:space="preserve">a fundamental role in </w:t>
      </w:r>
      <w:r w:rsidR="00AE19A0" w:rsidRPr="00E91B41">
        <w:rPr>
          <w:lang w:val="en-GB"/>
        </w:rPr>
        <w:t>the fight against</w:t>
      </w:r>
      <w:r w:rsidRPr="00E91B41">
        <w:rPr>
          <w:lang w:val="en-GB"/>
        </w:rPr>
        <w:t xml:space="preserve"> gender</w:t>
      </w:r>
      <w:r w:rsidR="00AE19A0" w:rsidRPr="00E91B41">
        <w:rPr>
          <w:lang w:val="en-GB"/>
        </w:rPr>
        <w:t>-</w:t>
      </w:r>
      <w:r w:rsidRPr="00E91B41">
        <w:rPr>
          <w:lang w:val="en-GB"/>
        </w:rPr>
        <w:t>based violence, m</w:t>
      </w:r>
      <w:r w:rsidR="00AE19A0" w:rsidRPr="00E91B41">
        <w:rPr>
          <w:lang w:val="en-GB"/>
        </w:rPr>
        <w:t>i</w:t>
      </w:r>
      <w:r w:rsidRPr="00E91B41">
        <w:rPr>
          <w:lang w:val="en-GB"/>
        </w:rPr>
        <w:t>sog</w:t>
      </w:r>
      <w:r w:rsidR="00AE19A0" w:rsidRPr="00E91B41">
        <w:rPr>
          <w:lang w:val="en-GB"/>
        </w:rPr>
        <w:t>y</w:t>
      </w:r>
      <w:r w:rsidRPr="00E91B41">
        <w:rPr>
          <w:lang w:val="en-GB"/>
        </w:rPr>
        <w:t>ny and gender stereotypes</w:t>
      </w:r>
      <w:r w:rsidR="00AE19A0" w:rsidRPr="00E91B41">
        <w:rPr>
          <w:lang w:val="en-GB"/>
        </w:rPr>
        <w:t>;</w:t>
      </w:r>
      <w:r w:rsidRPr="00E91B41">
        <w:rPr>
          <w:lang w:val="en-GB"/>
        </w:rPr>
        <w:t xml:space="preserve"> </w:t>
      </w:r>
    </w:p>
    <w:p w14:paraId="0000001D" w14:textId="020A28D6" w:rsidR="00D50B28" w:rsidRPr="00E91B41" w:rsidRDefault="00FF04B6" w:rsidP="00126E5F">
      <w:pPr>
        <w:numPr>
          <w:ilvl w:val="0"/>
          <w:numId w:val="5"/>
        </w:numPr>
        <w:ind w:left="1134" w:hanging="567"/>
      </w:pPr>
      <w:r w:rsidRPr="00E91B41">
        <w:t xml:space="preserve">whereas zero tolerance by public authorities to the display of discriminatory or </w:t>
      </w:r>
      <w:proofErr w:type="spellStart"/>
      <w:r w:rsidRPr="00E91B41">
        <w:t>objectivised</w:t>
      </w:r>
      <w:proofErr w:type="spellEnd"/>
      <w:r w:rsidRPr="00E91B41">
        <w:t xml:space="preserve"> images of women in advertising in public places is key to eliminating gender stereotypes conducive to gender-based violence; </w:t>
      </w:r>
    </w:p>
    <w:p w14:paraId="0000001E" w14:textId="14FD27E0" w:rsidR="00D50B28" w:rsidRPr="00E91B41" w:rsidRDefault="009C55EF" w:rsidP="00126E5F">
      <w:pPr>
        <w:numPr>
          <w:ilvl w:val="0"/>
          <w:numId w:val="5"/>
        </w:numPr>
        <w:ind w:left="1134" w:hanging="567"/>
      </w:pPr>
      <w:r w:rsidRPr="009C55EF">
        <w:t>whereas gender mainstreaming and gender budgeting are key to making sure that all policies work for women, and therefore, such policies should undergo strict gender impact assessments, including in times of crises;</w:t>
      </w:r>
    </w:p>
    <w:p w14:paraId="0000001F" w14:textId="77777777" w:rsidR="00D50B28" w:rsidRPr="00E91B41" w:rsidRDefault="00D50B28" w:rsidP="00126E5F">
      <w:pPr>
        <w:rPr>
          <w:lang w:val="en-GB"/>
        </w:rPr>
      </w:pPr>
    </w:p>
    <w:p w14:paraId="00000020" w14:textId="47B390B8" w:rsidR="00D50B28" w:rsidRPr="00E91B41" w:rsidRDefault="00FF04B6" w:rsidP="00126E5F">
      <w:r w:rsidRPr="00E91B41">
        <w:t xml:space="preserve">In view of the above, the Municipal/City/Regional Council (delete as appropriate) of ______________________ (name of the city/region) </w:t>
      </w:r>
      <w:r w:rsidR="00A14CC5">
        <w:t>commits</w:t>
      </w:r>
      <w:r w:rsidRPr="00E91B41">
        <w:t>:</w:t>
      </w:r>
    </w:p>
    <w:p w14:paraId="00000021" w14:textId="77777777" w:rsidR="00D50B28" w:rsidRPr="00E91B41" w:rsidRDefault="00D50B28" w:rsidP="00126E5F"/>
    <w:p w14:paraId="00000022" w14:textId="67557E81" w:rsidR="00D50B28" w:rsidRPr="00E91B41" w:rsidRDefault="00FF04B6" w:rsidP="00126E5F">
      <w:pPr>
        <w:numPr>
          <w:ilvl w:val="0"/>
          <w:numId w:val="6"/>
        </w:numPr>
        <w:ind w:left="1134" w:hanging="567"/>
      </w:pPr>
      <w:r w:rsidRPr="00E91B41">
        <w:t xml:space="preserve">to declare ______________________ (name of the city/region) as a </w:t>
      </w:r>
      <w:r w:rsidR="00BD51E6" w:rsidRPr="00E91B41">
        <w:t>Safe Place for Women</w:t>
      </w:r>
      <w:r w:rsidRPr="00E91B41">
        <w:t xml:space="preserve"> and commit to public policies ensuring women's safety on the one hand, and explicitly </w:t>
      </w:r>
      <w:r w:rsidR="00383F5D" w:rsidRPr="00E91B41">
        <w:t xml:space="preserve">punishing </w:t>
      </w:r>
      <w:r w:rsidRPr="00E91B41">
        <w:t>any forms of gender-based violence on the other, ensuring the full and equitable involvement of women throughout the process;</w:t>
      </w:r>
    </w:p>
    <w:p w14:paraId="00000023" w14:textId="55E30BEE" w:rsidR="00D50B28" w:rsidRPr="00E91B41" w:rsidRDefault="00FF04B6" w:rsidP="00126E5F">
      <w:pPr>
        <w:numPr>
          <w:ilvl w:val="0"/>
          <w:numId w:val="6"/>
        </w:numPr>
        <w:ind w:left="1134" w:hanging="567"/>
      </w:pPr>
      <w:r w:rsidRPr="00E91B41">
        <w:t xml:space="preserve">to ensure direct and uninterrupted access to </w:t>
      </w:r>
      <w:proofErr w:type="spellStart"/>
      <w:r w:rsidR="00081606" w:rsidRPr="00E91B41">
        <w:rPr>
          <w:lang w:val="en-GB"/>
        </w:rPr>
        <w:t>speciali</w:t>
      </w:r>
      <w:proofErr w:type="spellEnd"/>
      <w:r w:rsidR="00081606" w:rsidRPr="00E91B41">
        <w:t>s</w:t>
      </w:r>
      <w:r w:rsidR="00081606" w:rsidRPr="00E91B41">
        <w:rPr>
          <w:lang w:val="en-GB"/>
        </w:rPr>
        <w:t>ed</w:t>
      </w:r>
      <w:r w:rsidR="000D14A2" w:rsidRPr="00E91B41">
        <w:rPr>
          <w:lang w:val="en-GB"/>
        </w:rPr>
        <w:t>, secure</w:t>
      </w:r>
      <w:r w:rsidRPr="00E91B41">
        <w:rPr>
          <w:lang w:val="en-GB"/>
        </w:rPr>
        <w:t xml:space="preserve"> and comprehensive </w:t>
      </w:r>
      <w:r w:rsidRPr="00E91B41">
        <w:t xml:space="preserve">support services for </w:t>
      </w:r>
      <w:r w:rsidRPr="00E91B41">
        <w:rPr>
          <w:lang w:val="en-GB"/>
        </w:rPr>
        <w:t>victims of gender</w:t>
      </w:r>
      <w:r w:rsidR="000D14A2" w:rsidRPr="00E91B41">
        <w:rPr>
          <w:lang w:val="en-GB"/>
        </w:rPr>
        <w:t>-</w:t>
      </w:r>
      <w:r w:rsidRPr="00E91B41">
        <w:rPr>
          <w:lang w:val="en-GB"/>
        </w:rPr>
        <w:t>based violence, including domestic and sexual violence;</w:t>
      </w:r>
    </w:p>
    <w:p w14:paraId="09712771" w14:textId="733FCC4E" w:rsidR="00840DBA" w:rsidRPr="00E91B41" w:rsidRDefault="00FF04B6" w:rsidP="00126E5F">
      <w:pPr>
        <w:numPr>
          <w:ilvl w:val="0"/>
          <w:numId w:val="6"/>
        </w:numPr>
        <w:ind w:left="1134" w:hanging="567"/>
      </w:pPr>
      <w:r w:rsidRPr="00E91B41">
        <w:t>to ensure the prompt reaction of the services competent for the non-discriminatory registration and handling of incidents of gender-based violence</w:t>
      </w:r>
      <w:r w:rsidR="00C17E20" w:rsidRPr="00E91B41">
        <w:t xml:space="preserve"> and to </w:t>
      </w:r>
      <w:r w:rsidR="00081606" w:rsidRPr="00E91B41">
        <w:t xml:space="preserve">provide for </w:t>
      </w:r>
      <w:r w:rsidR="00C17E20" w:rsidRPr="00E91B41">
        <w:t>measure</w:t>
      </w:r>
      <w:r w:rsidR="000D14A2" w:rsidRPr="00E91B41">
        <w:t>s</w:t>
      </w:r>
      <w:r w:rsidR="00C17E20" w:rsidRPr="00E91B41">
        <w:t xml:space="preserve"> </w:t>
      </w:r>
      <w:r w:rsidR="000D14A2" w:rsidRPr="00E91B41">
        <w:t xml:space="preserve">for the effective and immediate protection of </w:t>
      </w:r>
      <w:r w:rsidR="00AA45C7" w:rsidRPr="00E91B41">
        <w:t>victims</w:t>
      </w:r>
      <w:r w:rsidR="00A016D9" w:rsidRPr="00E91B41">
        <w:t xml:space="preserve"> and their children</w:t>
      </w:r>
      <w:r w:rsidR="00081606" w:rsidRPr="00E91B41">
        <w:t>;</w:t>
      </w:r>
    </w:p>
    <w:p w14:paraId="69D11FE1" w14:textId="718DC1F9" w:rsidR="00840DBA" w:rsidRPr="00E91B41" w:rsidRDefault="00840DBA" w:rsidP="00126E5F">
      <w:pPr>
        <w:numPr>
          <w:ilvl w:val="0"/>
          <w:numId w:val="6"/>
        </w:numPr>
        <w:ind w:left="1134" w:hanging="567"/>
      </w:pPr>
      <w:r w:rsidRPr="00E91B41">
        <w:t xml:space="preserve">to </w:t>
      </w:r>
      <w:r w:rsidRPr="00E91B41">
        <w:rPr>
          <w:rFonts w:eastAsia="Arial"/>
          <w:lang w:val="en-GB"/>
        </w:rPr>
        <w:t xml:space="preserve">provide gender sensitivity training for police, public authorities and </w:t>
      </w:r>
      <w:r w:rsidR="00537037" w:rsidRPr="00E91B41">
        <w:rPr>
          <w:rFonts w:eastAsia="Arial"/>
          <w:lang w:val="en-GB"/>
        </w:rPr>
        <w:t xml:space="preserve">staff of </w:t>
      </w:r>
      <w:r w:rsidRPr="00E91B41">
        <w:rPr>
          <w:rFonts w:eastAsia="Arial"/>
          <w:lang w:val="en-GB"/>
        </w:rPr>
        <w:t xml:space="preserve">specialised reception centres, including shelters, for </w:t>
      </w:r>
      <w:r w:rsidR="00081606" w:rsidRPr="00E91B41">
        <w:rPr>
          <w:rFonts w:eastAsia="Arial"/>
        </w:rPr>
        <w:t>female</w:t>
      </w:r>
      <w:r w:rsidR="00081606" w:rsidRPr="00E91B41">
        <w:rPr>
          <w:rFonts w:eastAsia="Arial"/>
          <w:lang w:val="en-GB"/>
        </w:rPr>
        <w:t xml:space="preserve"> </w:t>
      </w:r>
      <w:r w:rsidRPr="00E91B41">
        <w:rPr>
          <w:rFonts w:eastAsia="Arial"/>
          <w:lang w:val="en-GB"/>
        </w:rPr>
        <w:t>victims of gender-based violence</w:t>
      </w:r>
      <w:r w:rsidR="00537037" w:rsidRPr="00E91B41">
        <w:rPr>
          <w:rFonts w:eastAsia="Arial"/>
          <w:lang w:val="en-GB"/>
        </w:rPr>
        <w:t>, with first responders being a top priority for such training</w:t>
      </w:r>
      <w:r w:rsidRPr="00E91B41">
        <w:rPr>
          <w:rFonts w:eastAsia="Arial"/>
          <w:lang w:val="en-GB"/>
        </w:rPr>
        <w:t>;</w:t>
      </w:r>
    </w:p>
    <w:p w14:paraId="1370AFB7" w14:textId="77777777" w:rsidR="003B351E" w:rsidRPr="00E91B41" w:rsidRDefault="00FF04B6" w:rsidP="00126E5F">
      <w:pPr>
        <w:numPr>
          <w:ilvl w:val="0"/>
          <w:numId w:val="6"/>
        </w:numPr>
        <w:ind w:left="1134" w:hanging="567"/>
      </w:pPr>
      <w:r w:rsidRPr="00E91B41">
        <w:lastRenderedPageBreak/>
        <w:t>to collect administrative data on intimate partner violence and gender-related killings of women and girls (femicides), in order to contribute towards preventing and combating it;</w:t>
      </w:r>
    </w:p>
    <w:p w14:paraId="752338A8" w14:textId="77777777" w:rsidR="003B351E" w:rsidRPr="00E91B41" w:rsidRDefault="00FF04B6" w:rsidP="00126E5F">
      <w:pPr>
        <w:numPr>
          <w:ilvl w:val="0"/>
          <w:numId w:val="6"/>
        </w:numPr>
        <w:ind w:left="1134" w:hanging="567"/>
      </w:pPr>
      <w:r w:rsidRPr="00E91B41">
        <w:t>to apply a zero-tolerance policy to</w:t>
      </w:r>
      <w:r w:rsidR="00705B05" w:rsidRPr="00E91B41">
        <w:t xml:space="preserve"> </w:t>
      </w:r>
      <w:r w:rsidRPr="00E91B41">
        <w:rPr>
          <w:lang w:val="en-GB"/>
        </w:rPr>
        <w:t>sexist</w:t>
      </w:r>
      <w:r w:rsidR="00350448" w:rsidRPr="00E91B41">
        <w:rPr>
          <w:lang w:val="en-GB"/>
        </w:rPr>
        <w:t xml:space="preserve"> </w:t>
      </w:r>
      <w:r w:rsidRPr="00E91B41">
        <w:t>advertising</w:t>
      </w:r>
      <w:r w:rsidRPr="00E91B41">
        <w:rPr>
          <w:lang w:val="en-GB"/>
        </w:rPr>
        <w:t xml:space="preserve">, </w:t>
      </w:r>
      <w:r w:rsidR="00840DBA" w:rsidRPr="00E91B41">
        <w:t xml:space="preserve">including </w:t>
      </w:r>
      <w:r w:rsidRPr="00E91B41">
        <w:t>in public spaces</w:t>
      </w:r>
      <w:r w:rsidR="00840DBA" w:rsidRPr="00E91B41">
        <w:t xml:space="preserve"> and on public transport</w:t>
      </w:r>
      <w:r w:rsidRPr="00E91B41">
        <w:t xml:space="preserve">, </w:t>
      </w:r>
      <w:r w:rsidR="00350448" w:rsidRPr="00E91B41">
        <w:rPr>
          <w:lang w:val="en-GB"/>
        </w:rPr>
        <w:t xml:space="preserve">as </w:t>
      </w:r>
      <w:r w:rsidR="00705B05" w:rsidRPr="00E91B41">
        <w:t xml:space="preserve">this </w:t>
      </w:r>
      <w:r w:rsidRPr="00E91B41">
        <w:t xml:space="preserve">promotes </w:t>
      </w:r>
      <w:r w:rsidRPr="00E91B41">
        <w:rPr>
          <w:lang w:val="en-GB"/>
        </w:rPr>
        <w:t xml:space="preserve">harmful </w:t>
      </w:r>
      <w:r w:rsidRPr="00E91B41">
        <w:t xml:space="preserve">gender stereotypes; </w:t>
      </w:r>
    </w:p>
    <w:p w14:paraId="315213B2" w14:textId="68241AAD" w:rsidR="003B351E" w:rsidRPr="00E91B41" w:rsidRDefault="00FF04B6" w:rsidP="00126E5F">
      <w:pPr>
        <w:numPr>
          <w:ilvl w:val="0"/>
          <w:numId w:val="6"/>
        </w:numPr>
        <w:ind w:left="1134" w:hanging="567"/>
      </w:pPr>
      <w:r w:rsidRPr="00E91B41">
        <w:t xml:space="preserve">to </w:t>
      </w:r>
      <w:r w:rsidR="00885358" w:rsidRPr="00E91B41">
        <w:t xml:space="preserve">systematically </w:t>
      </w:r>
      <w:r w:rsidRPr="00E91B41">
        <w:t xml:space="preserve">consider </w:t>
      </w:r>
      <w:r w:rsidR="00081606" w:rsidRPr="00E91B41">
        <w:t xml:space="preserve">women's </w:t>
      </w:r>
      <w:r w:rsidRPr="00E91B41">
        <w:t>safety</w:t>
      </w:r>
      <w:r w:rsidR="00885358" w:rsidRPr="00E91B41">
        <w:t xml:space="preserve"> and needs</w:t>
      </w:r>
      <w:r w:rsidRPr="00E91B41">
        <w:t xml:space="preserve"> when deciding on budget measures related to public services such as public lighting, public transport or resources in social services dealing with gender-</w:t>
      </w:r>
      <w:r w:rsidR="00F15CCB" w:rsidRPr="00E91B41">
        <w:t xml:space="preserve">based </w:t>
      </w:r>
      <w:r w:rsidRPr="00E91B41">
        <w:t>violence victims</w:t>
      </w:r>
      <w:r w:rsidR="00044D8E" w:rsidRPr="00E91B41">
        <w:t>;</w:t>
      </w:r>
    </w:p>
    <w:p w14:paraId="3CCD35B5" w14:textId="0F123475" w:rsidR="00D7578C" w:rsidRPr="00E91B41" w:rsidRDefault="00D7578C" w:rsidP="00126E5F">
      <w:pPr>
        <w:numPr>
          <w:ilvl w:val="0"/>
          <w:numId w:val="6"/>
        </w:numPr>
        <w:ind w:left="1134" w:hanging="567"/>
      </w:pPr>
      <w:bookmarkStart w:id="0" w:name="_Hlk126162679"/>
      <w:r w:rsidRPr="00E91B41">
        <w:t xml:space="preserve">to </w:t>
      </w:r>
      <w:proofErr w:type="spellStart"/>
      <w:r w:rsidRPr="00E91B41">
        <w:t>organise</w:t>
      </w:r>
      <w:proofErr w:type="spellEnd"/>
      <w:r w:rsidRPr="00E91B41">
        <w:t xml:space="preserve"> educational </w:t>
      </w:r>
      <w:proofErr w:type="spellStart"/>
      <w:r w:rsidRPr="00E91B41">
        <w:t>programmes</w:t>
      </w:r>
      <w:proofErr w:type="spellEnd"/>
      <w:r w:rsidRPr="00E91B41">
        <w:t>/training/presentations in schools and universities to accompany</w:t>
      </w:r>
      <w:r w:rsidRPr="00E91B41">
        <w:rPr>
          <w:rFonts w:eastAsia="Arial"/>
          <w:lang w:val="en-GB"/>
        </w:rPr>
        <w:t xml:space="preserve"> relationships </w:t>
      </w:r>
      <w:r w:rsidR="00A14CC5">
        <w:rPr>
          <w:rFonts w:eastAsia="Arial"/>
          <w:lang w:val="en-GB"/>
        </w:rPr>
        <w:t xml:space="preserve">and sexuality </w:t>
      </w:r>
      <w:r w:rsidRPr="00E91B41">
        <w:rPr>
          <w:rFonts w:eastAsia="Arial"/>
          <w:lang w:val="en-GB"/>
        </w:rPr>
        <w:t>curricula and</w:t>
      </w:r>
      <w:r w:rsidRPr="00E91B41">
        <w:t xml:space="preserve"> to raise awareness from an early age about the impact of gender-based harassment and violence;</w:t>
      </w:r>
      <w:bookmarkEnd w:id="0"/>
    </w:p>
    <w:p w14:paraId="567CF1E6" w14:textId="77777777" w:rsidR="00D7578C" w:rsidRPr="00E91B41" w:rsidRDefault="00FF04B6" w:rsidP="00126E5F">
      <w:pPr>
        <w:numPr>
          <w:ilvl w:val="0"/>
          <w:numId w:val="6"/>
        </w:numPr>
        <w:ind w:left="1134" w:hanging="567"/>
      </w:pPr>
      <w:r w:rsidRPr="00E91B41">
        <w:t>to remain vigilant and apply immediate sanctions for cases of human trafficking</w:t>
      </w:r>
      <w:r w:rsidR="003B351E" w:rsidRPr="00E91B41">
        <w:t xml:space="preserve"> and for practices harmful to women and girls (female genital mutilation, early and forced marriages, forced </w:t>
      </w:r>
      <w:proofErr w:type="spellStart"/>
      <w:r w:rsidR="003B351E" w:rsidRPr="00E91B41">
        <w:t>sterilisation</w:t>
      </w:r>
      <w:proofErr w:type="spellEnd"/>
      <w:r w:rsidR="003B351E" w:rsidRPr="00E91B41">
        <w:t>);</w:t>
      </w:r>
    </w:p>
    <w:p w14:paraId="0BBC2CCE" w14:textId="77777777" w:rsidR="00D7578C" w:rsidRPr="00E91B41" w:rsidRDefault="00FF04B6" w:rsidP="00126E5F">
      <w:pPr>
        <w:numPr>
          <w:ilvl w:val="0"/>
          <w:numId w:val="6"/>
        </w:numPr>
        <w:ind w:left="1134" w:hanging="567"/>
      </w:pPr>
      <w:r w:rsidRPr="00E91B41">
        <w:t>to remain vigilant and apply zero tolerance to any forms of gender</w:t>
      </w:r>
      <w:r w:rsidR="00FF4EE4" w:rsidRPr="00E91B41">
        <w:rPr>
          <w:lang w:val="en-GB"/>
        </w:rPr>
        <w:t>-</w:t>
      </w:r>
      <w:r w:rsidRPr="00E91B41">
        <w:rPr>
          <w:lang w:val="en-GB"/>
        </w:rPr>
        <w:t>based</w:t>
      </w:r>
      <w:r w:rsidRPr="00E91B41">
        <w:t xml:space="preserve"> cyberviolence;</w:t>
      </w:r>
    </w:p>
    <w:p w14:paraId="6A04C8ED" w14:textId="77777777" w:rsidR="00D7578C" w:rsidRPr="00E91B41" w:rsidRDefault="00155B5B" w:rsidP="00126E5F">
      <w:pPr>
        <w:numPr>
          <w:ilvl w:val="0"/>
          <w:numId w:val="6"/>
        </w:numPr>
        <w:ind w:left="1134" w:hanging="567"/>
      </w:pPr>
      <w:r w:rsidRPr="00E91B41">
        <w:t xml:space="preserve">to </w:t>
      </w:r>
      <w:r w:rsidR="00E53773" w:rsidRPr="00E91B41">
        <w:t xml:space="preserve">raise public awareness </w:t>
      </w:r>
      <w:r w:rsidR="00FF4EE4" w:rsidRPr="00E91B41">
        <w:t xml:space="preserve">about gender-based violence </w:t>
      </w:r>
      <w:r w:rsidR="00E53773" w:rsidRPr="00E91B41">
        <w:t>through communication campaigns</w:t>
      </w:r>
      <w:r w:rsidR="00FF4EE4" w:rsidRPr="00E91B41">
        <w:t xml:space="preserve">, aimed also at informing </w:t>
      </w:r>
      <w:r w:rsidR="00C5440F" w:rsidRPr="00E91B41">
        <w:t xml:space="preserve">victims about where </w:t>
      </w:r>
      <w:r w:rsidR="00E53773" w:rsidRPr="00E91B41">
        <w:t xml:space="preserve">and </w:t>
      </w:r>
      <w:r w:rsidR="00C5440F" w:rsidRPr="00E91B41">
        <w:t xml:space="preserve">how to access support services, </w:t>
      </w:r>
      <w:r w:rsidR="00FF4EE4" w:rsidRPr="00E91B41">
        <w:t xml:space="preserve">with such activities culminating around </w:t>
      </w:r>
      <w:r w:rsidR="00FF04B6" w:rsidRPr="00E91B41">
        <w:t xml:space="preserve">the International Day for the Elimination of Violence Against Women (25 November); </w:t>
      </w:r>
    </w:p>
    <w:p w14:paraId="0000002D" w14:textId="1BA154B6" w:rsidR="00D50B28" w:rsidRPr="00CF1E0A" w:rsidRDefault="00FF04B6" w:rsidP="00126E5F">
      <w:pPr>
        <w:numPr>
          <w:ilvl w:val="0"/>
          <w:numId w:val="6"/>
        </w:numPr>
        <w:ind w:left="1134" w:hanging="567"/>
      </w:pPr>
      <w:r w:rsidRPr="00E91B41">
        <w:t xml:space="preserve">to lead by example in the </w:t>
      </w:r>
      <w:proofErr w:type="spellStart"/>
      <w:r w:rsidRPr="00E91B41">
        <w:t>organisation</w:t>
      </w:r>
      <w:proofErr w:type="spellEnd"/>
      <w:r w:rsidRPr="00E91B41">
        <w:t xml:space="preserve"> and workings of the XXX local/regional authority. </w:t>
      </w:r>
    </w:p>
    <w:p w14:paraId="173B93C6" w14:textId="77777777" w:rsidR="003D6677" w:rsidRPr="00CF1E0A" w:rsidRDefault="003D6677" w:rsidP="00126E5F"/>
    <w:p w14:paraId="242C6266" w14:textId="4C1B334E" w:rsidR="003D6677" w:rsidRPr="00CF1E0A" w:rsidRDefault="003D6677" w:rsidP="00456376">
      <w:pPr>
        <w:overflowPunct w:val="0"/>
        <w:autoSpaceDE w:val="0"/>
        <w:autoSpaceDN w:val="0"/>
        <w:adjustRightInd w:val="0"/>
        <w:jc w:val="center"/>
        <w:textAlignment w:val="baseline"/>
        <w:rPr>
          <w:lang w:val="nl-BE"/>
        </w:rPr>
      </w:pPr>
      <w:r w:rsidRPr="00CF1E0A">
        <w:t>_____________</w:t>
      </w:r>
    </w:p>
    <w:sectPr w:rsidR="003D6677" w:rsidRPr="00CF1E0A" w:rsidSect="00960F21">
      <w:headerReference w:type="even" r:id="rId11"/>
      <w:headerReference w:type="default" r:id="rId12"/>
      <w:footerReference w:type="even" r:id="rId13"/>
      <w:footerReference w:type="default" r:id="rId14"/>
      <w:headerReference w:type="first" r:id="rId15"/>
      <w:footerReference w:type="first" r:id="rId16"/>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A845" w14:textId="77777777" w:rsidR="005607E8" w:rsidRDefault="00560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6C0FCF86" w:rsidR="00D50B28" w:rsidRPr="00960F21" w:rsidRDefault="00D50B28" w:rsidP="00960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7C14" w14:textId="77777777" w:rsidR="005607E8" w:rsidRDefault="00560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882E" w14:textId="77777777" w:rsidR="005607E8" w:rsidRDefault="00560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415B9A7D" w:rsidR="00D50B28" w:rsidRPr="00960F21" w:rsidRDefault="00D50B28" w:rsidP="00CF55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8126" w14:textId="77777777" w:rsidR="005607E8" w:rsidRDefault="00560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D09BE"/>
    <w:rsid w:val="000D14A2"/>
    <w:rsid w:val="000E2371"/>
    <w:rsid w:val="000F7591"/>
    <w:rsid w:val="0010194E"/>
    <w:rsid w:val="00126E5F"/>
    <w:rsid w:val="00137B8F"/>
    <w:rsid w:val="00155B5B"/>
    <w:rsid w:val="001A5707"/>
    <w:rsid w:val="001F01E6"/>
    <w:rsid w:val="00236DF8"/>
    <w:rsid w:val="00260BFF"/>
    <w:rsid w:val="002A262C"/>
    <w:rsid w:val="00321301"/>
    <w:rsid w:val="00323099"/>
    <w:rsid w:val="0032527B"/>
    <w:rsid w:val="00350448"/>
    <w:rsid w:val="0036345D"/>
    <w:rsid w:val="00383F5D"/>
    <w:rsid w:val="003B351E"/>
    <w:rsid w:val="003C5B7C"/>
    <w:rsid w:val="003D0AC1"/>
    <w:rsid w:val="003D59C7"/>
    <w:rsid w:val="003D6677"/>
    <w:rsid w:val="003F5D79"/>
    <w:rsid w:val="0043276B"/>
    <w:rsid w:val="0043707C"/>
    <w:rsid w:val="0044645C"/>
    <w:rsid w:val="00456376"/>
    <w:rsid w:val="00494A60"/>
    <w:rsid w:val="004B4A5C"/>
    <w:rsid w:val="004D6AFD"/>
    <w:rsid w:val="004F07E0"/>
    <w:rsid w:val="00527C39"/>
    <w:rsid w:val="005365B6"/>
    <w:rsid w:val="00537037"/>
    <w:rsid w:val="005607E8"/>
    <w:rsid w:val="00570266"/>
    <w:rsid w:val="005C73AD"/>
    <w:rsid w:val="005F7C88"/>
    <w:rsid w:val="006110AD"/>
    <w:rsid w:val="00656BC1"/>
    <w:rsid w:val="0066557B"/>
    <w:rsid w:val="006A48E1"/>
    <w:rsid w:val="006D6E47"/>
    <w:rsid w:val="006E0600"/>
    <w:rsid w:val="00705B05"/>
    <w:rsid w:val="007750C5"/>
    <w:rsid w:val="0078512B"/>
    <w:rsid w:val="007C0121"/>
    <w:rsid w:val="00840DBA"/>
    <w:rsid w:val="0088414D"/>
    <w:rsid w:val="00885358"/>
    <w:rsid w:val="00891928"/>
    <w:rsid w:val="00901E6D"/>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A45C7"/>
    <w:rsid w:val="00AB7DF2"/>
    <w:rsid w:val="00AE19A0"/>
    <w:rsid w:val="00B24C70"/>
    <w:rsid w:val="00B60D7C"/>
    <w:rsid w:val="00B61273"/>
    <w:rsid w:val="00B97533"/>
    <w:rsid w:val="00BD51E6"/>
    <w:rsid w:val="00BE353C"/>
    <w:rsid w:val="00BF3568"/>
    <w:rsid w:val="00C135BE"/>
    <w:rsid w:val="00C17E20"/>
    <w:rsid w:val="00C261AE"/>
    <w:rsid w:val="00C41130"/>
    <w:rsid w:val="00C5244C"/>
    <w:rsid w:val="00C5440F"/>
    <w:rsid w:val="00C776F1"/>
    <w:rsid w:val="00C87025"/>
    <w:rsid w:val="00CD42BF"/>
    <w:rsid w:val="00CE48FF"/>
    <w:rsid w:val="00CE5D47"/>
    <w:rsid w:val="00CF1E0A"/>
    <w:rsid w:val="00CF5589"/>
    <w:rsid w:val="00D10506"/>
    <w:rsid w:val="00D10CE6"/>
    <w:rsid w:val="00D4427A"/>
    <w:rsid w:val="00D46D93"/>
    <w:rsid w:val="00D50B28"/>
    <w:rsid w:val="00D7578C"/>
    <w:rsid w:val="00D86ED5"/>
    <w:rsid w:val="00D96D80"/>
    <w:rsid w:val="00DA29E4"/>
    <w:rsid w:val="00DB0DE3"/>
    <w:rsid w:val="00DE256A"/>
    <w:rsid w:val="00DE4ADA"/>
    <w:rsid w:val="00DE72A2"/>
    <w:rsid w:val="00E00A1A"/>
    <w:rsid w:val="00E3157C"/>
    <w:rsid w:val="00E41F11"/>
    <w:rsid w:val="00E43072"/>
    <w:rsid w:val="00E53773"/>
    <w:rsid w:val="00E75A4F"/>
    <w:rsid w:val="00E91B41"/>
    <w:rsid w:val="00EC0640"/>
    <w:rsid w:val="00F05277"/>
    <w:rsid w:val="00F15CCB"/>
    <w:rsid w:val="00F56348"/>
    <w:rsid w:val="00F906A0"/>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val="en-US"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en-US" w:eastAsia="en-US"/>
    </w:rPr>
  </w:style>
  <w:style w:type="character" w:customStyle="1" w:styleId="Heading2Char">
    <w:name w:val="Heading 2 Char"/>
    <w:basedOn w:val="DefaultParagraphFont"/>
    <w:link w:val="Heading2"/>
    <w:rsid w:val="000E2371"/>
    <w:rPr>
      <w:lang w:val="en-US" w:eastAsia="en-US"/>
    </w:rPr>
  </w:style>
  <w:style w:type="character" w:customStyle="1" w:styleId="Heading3Char">
    <w:name w:val="Heading 3 Char"/>
    <w:basedOn w:val="DefaultParagraphFont"/>
    <w:link w:val="Heading3"/>
    <w:rsid w:val="000E2371"/>
    <w:rPr>
      <w:lang w:val="en-US" w:eastAsia="en-US"/>
    </w:rPr>
  </w:style>
  <w:style w:type="character" w:customStyle="1" w:styleId="Heading4Char">
    <w:name w:val="Heading 4 Char"/>
    <w:basedOn w:val="DefaultParagraphFont"/>
    <w:link w:val="Heading4"/>
    <w:rsid w:val="000E2371"/>
    <w:rPr>
      <w:lang w:val="en-US" w:eastAsia="en-US"/>
    </w:rPr>
  </w:style>
  <w:style w:type="character" w:customStyle="1" w:styleId="Heading5Char">
    <w:name w:val="Heading 5 Char"/>
    <w:basedOn w:val="DefaultParagraphFont"/>
    <w:link w:val="Heading5"/>
    <w:rsid w:val="000E2371"/>
    <w:rPr>
      <w:lang w:val="en-US" w:eastAsia="en-US"/>
    </w:rPr>
  </w:style>
  <w:style w:type="character" w:customStyle="1" w:styleId="Heading6Char">
    <w:name w:val="Heading 6 Char"/>
    <w:basedOn w:val="DefaultParagraphFont"/>
    <w:link w:val="Heading6"/>
    <w:rsid w:val="000E2371"/>
    <w:rPr>
      <w:lang w:val="en-US" w:eastAsia="en-US"/>
    </w:rPr>
  </w:style>
  <w:style w:type="character" w:customStyle="1" w:styleId="Heading7Char">
    <w:name w:val="Heading 7 Char"/>
    <w:basedOn w:val="DefaultParagraphFont"/>
    <w:link w:val="Heading7"/>
    <w:rsid w:val="000E2371"/>
    <w:rPr>
      <w:lang w:val="en-US" w:eastAsia="en-US"/>
    </w:rPr>
  </w:style>
  <w:style w:type="character" w:customStyle="1" w:styleId="Heading8Char">
    <w:name w:val="Heading 8 Char"/>
    <w:basedOn w:val="DefaultParagraphFont"/>
    <w:link w:val="Heading8"/>
    <w:rsid w:val="000E2371"/>
    <w:rPr>
      <w:lang w:val="en-US" w:eastAsia="en-US"/>
    </w:rPr>
  </w:style>
  <w:style w:type="character" w:customStyle="1" w:styleId="Heading9Char">
    <w:name w:val="Heading 9 Char"/>
    <w:basedOn w:val="DefaultParagraphFont"/>
    <w:link w:val="Heading9"/>
    <w:rsid w:val="000E2371"/>
    <w:rPr>
      <w:lang w:val="en-US"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en-US"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en-US"/>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en-US"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lang w:val="fr-BE"/>
    </w:rPr>
  </w:style>
  <w:style w:type="paragraph" w:customStyle="1" w:styleId="statut">
    <w:name w:val="statut"/>
    <w:basedOn w:val="Normal"/>
    <w:rsid w:val="004D6AFD"/>
    <w:pPr>
      <w:spacing w:before="100" w:beforeAutospacing="1" w:after="100" w:afterAutospacing="1" w:line="240" w:lineRule="auto"/>
      <w:jc w:val="left"/>
    </w:pPr>
    <w:rPr>
      <w:sz w:val="24"/>
      <w:szCs w:val="24"/>
      <w:lang w:val="fr-BE"/>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lang w:val="fr-BE"/>
    </w:rPr>
  </w:style>
  <w:style w:type="paragraph" w:customStyle="1" w:styleId="titreobjetcp">
    <w:name w:val="titreobjet_cp"/>
    <w:basedOn w:val="Normal"/>
    <w:rsid w:val="004D6AFD"/>
    <w:pPr>
      <w:spacing w:before="100" w:beforeAutospacing="1" w:after="100" w:afterAutospacing="1" w:line="240" w:lineRule="auto"/>
      <w:jc w:val="left"/>
    </w:pPr>
    <w:rPr>
      <w:sz w:val="24"/>
      <w:szCs w:val="24"/>
      <w:lang w:val="fr-BE"/>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PWMHTDDKQ3QZ-1287546590-1383</_dlc_DocId>
    <_dlc_DocIdUrl xmlns="eff9f743-c5e6-45b1-888b-0c3422c38b02">
      <Url>http://dm2016/cor/2023/_layouts/15/DocIdRedir.aspx?ID=PWMHTDDKQ3QZ-1287546590-1383</Url>
      <Description>PWMHTDDKQ3QZ-1287546590-1383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FicheYear xmlns="eff9f743-c5e6-45b1-888b-0c3422c38b02" xsi:nil="true"/>
    <DocumentNumber xmlns="7a5557d5-8840-4824-be7b-8c920d988270">556</DocumentNumber>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TDriveSVCUserProd</DisplayName>
        <AccountId>1467</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84E31-53DA-4EBE-863C-D8A89074101C}">
  <ds:schemaRefs>
    <ds:schemaRef ds:uri="http://schemas.microsoft.com/sharepoint/events"/>
  </ds:schemaRefs>
</ds:datastoreItem>
</file>

<file path=customXml/itemProps2.xml><?xml version="1.0" encoding="utf-8"?>
<ds:datastoreItem xmlns:ds="http://schemas.openxmlformats.org/officeDocument/2006/customXml" ds:itemID="{7107F13F-F6BE-441B-B915-F9EB1BEF7184}">
  <ds:schemaRefs>
    <ds:schemaRef ds:uri="http://schemas.microsoft.com/sharepoint/v3/contenttype/forms"/>
  </ds:schemaRefs>
</ds:datastoreItem>
</file>

<file path=customXml/itemProps3.xml><?xml version="1.0" encoding="utf-8"?>
<ds:datastoreItem xmlns:ds="http://schemas.openxmlformats.org/officeDocument/2006/customXml" ds:itemID="{75ACC5A3-250B-4781-8C58-3B85D7924962}">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customXml/itemProps4.xml><?xml version="1.0" encoding="utf-8"?>
<ds:datastoreItem xmlns:ds="http://schemas.openxmlformats.org/officeDocument/2006/customXml" ds:itemID="{D9293428-2717-4C45-9775-2C7E45D26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1177</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Updated resolution women_EN</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resolution women_EN</dc:title>
  <dc:creator>Fotinou Olga</dc:creator>
  <cp:keywords>COR-2023-00556-00-01-DECL-TRA-EN</cp:keywords>
  <dc:description>Rapporteur: -  Original language: - EN Date of document: - 06/02/2023 Date of meeting: -  External documents: -  Administrator responsible: -  LETE Nicolas</dc:description>
  <cp:lastModifiedBy>Paget Vanessa</cp:lastModifiedBy>
  <cp:revision>8</cp:revision>
  <dcterms:created xsi:type="dcterms:W3CDTF">2023-02-06T09:51:00Z</dcterms:created>
  <dcterms:modified xsi:type="dcterms:W3CDTF">2023-02-18T15:40:00Z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f582c576-8ed2-4e6a-8b09-9e6cac2ecffc</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FicheYear">
    <vt:i4>2023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72;#DECL|3e2492ed-4ef9-4eb0-bb74-05f60f74f0a3</vt:lpwstr>
  </property>
  <property fmtid="{D5CDD505-2E9C-101B-9397-08002B2CF9AE}" pid="21" name="RequestingService">
    <vt:lpwstr>Parti des socialistes européens</vt:lpwstr>
  </property>
  <property fmtid="{D5CDD505-2E9C-101B-9397-08002B2CF9AE}" pid="22" name="Confidentiality">
    <vt:lpwstr>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7" name="AvailableTranslations_0">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4;#EN|f2175f21-25d7-44a3-96da-d6a61b075e1b;#7;#Final|ea5e6674-7b27-4bac-b091-73adbb394efe;#5;#Unrestricted|826e22d7-d029-4ec0-a450-0c28ff673572;#72;#DECL|3e2492ed-4ef9-4eb0-bb74-05f60f74f0a3;#2;#TRA|150d2a88-1431-44e6-a8ca-0bb753ab8672;#1;#CoR|cb2d75ef-4a7d-4393-b797-49ed6298a5ea</vt:lpwstr>
  </property>
  <property fmtid="{D5CDD505-2E9C-101B-9397-08002B2CF9AE}" pid="31" name="VersionStatus_0">
    <vt:lpwstr>Final|ea5e6674-7b27-4bac-b091-73adbb394efe</vt:lpwstr>
  </property>
  <property fmtid="{D5CDD505-2E9C-101B-9397-08002B2CF9AE}" pid="32" name="VersionStatus">
    <vt:lpwstr>7;#Final|ea5e6674-7b27-4bac-b091-73adbb394efe</vt:lpwstr>
  </property>
  <property fmtid="{D5CDD505-2E9C-101B-9397-08002B2CF9AE}" pid="33" name="DocumentYear">
    <vt:i4>2023</vt:i4>
  </property>
  <property fmtid="{D5CDD505-2E9C-101B-9397-08002B2CF9AE}" pid="34" name="FicheNumber">
    <vt:i4>1590</vt:i4>
  </property>
  <property fmtid="{D5CDD505-2E9C-101B-9397-08002B2CF9AE}" pid="35" name="DocumentLanguage">
    <vt:lpwstr>4;#EN|f2175f21-25d7-44a3-96da-d6a61b075e1b</vt:lpwstr>
  </property>
  <property fmtid="{D5CDD505-2E9C-101B-9397-08002B2CF9AE}" pid="36" name="_docset_NoMedatataSyncRequired">
    <vt:lpwstr>False</vt:lpwstr>
  </property>
</Properties>
</file>