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rPr>
      </w:pPr>
      <w:r>
        <w:rPr>
          <w:i/>
        </w:rPr>
        <w:t xml:space="preserve">Asiasta kiinnostuneet kunnat, kaupungit tai alueet voivat mukauttaa alla olevan päätöslauselmamallin tekstiä omien paikallisten tai alueellisten erityispiirteidensä mukaan. </w:t>
      </w:r>
    </w:p>
    <w:p w14:paraId="00000002" w14:textId="7D642250" w:rsidR="00D50B28" w:rsidRPr="00E91B41" w:rsidRDefault="00D50B28" w:rsidP="00126E5F">
      <w:pPr>
        <w:rPr>
          <w:b/>
          <w:i/>
        </w:rPr>
      </w:pPr>
    </w:p>
    <w:p w14:paraId="00000003" w14:textId="79A883B8" w:rsidR="00D50B28" w:rsidRPr="00E91B41" w:rsidRDefault="00FF04B6" w:rsidP="00126E5F">
      <w:pPr>
        <w:rPr>
          <w:b/>
        </w:rPr>
      </w:pPr>
      <w:r>
        <w:rPr>
          <w:b/>
        </w:rPr>
        <w:t>Malli kunnan-, kaupungin- tai aluevaltuuston päätöslauselmaksi</w:t>
      </w:r>
      <w:r>
        <w:rPr>
          <w:b/>
        </w:rPr>
        <w:br/>
        <w:t>____________________________ (kunnan, kaupungin tai alueen nimi) JULISTAMISEKSI turvalliseksi paikaksi naisille</w:t>
      </w:r>
    </w:p>
    <w:p w14:paraId="00000004" w14:textId="77777777" w:rsidR="00D50B28" w:rsidRPr="00E91B41" w:rsidRDefault="00D50B28" w:rsidP="00126E5F">
      <w:pPr>
        <w:rPr>
          <w:lang w:val="en-GB"/>
        </w:rPr>
      </w:pPr>
    </w:p>
    <w:p w14:paraId="00000005" w14:textId="6D2669EA" w:rsidR="00D50B28" w:rsidRPr="00E91B41" w:rsidRDefault="00FF04B6" w:rsidP="00126E5F">
      <w:r>
        <w:t>__________________________ (kunnan, kaupungin tai alueen nimi) kunnanvaltuusto/kaupunginvaltuusto/aluevaltuusto (tarpeeton yliviivataan), joka</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ottaa huomioon ihmisoikeuksien yleismaailmallisen julistuksen,</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ottaa huomioon Euroopan unionista tehdyn sopimuksen (SEU) 2 ja 3 artiklan,</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ottaa huomioon Euroopan unionin perusoikeuskirjan,</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ottaa huomioon Euroopan ihmisoikeussopimuksen ja siihen liittyvän Euroopan ihmisoikeustuomioistuimen oikeuskäytännön,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ottaa huomioon Euroopan neuvoston yleissopimuksen naisiin kohdistuvan väkivallan ja perheväkivallan ehkäisemisestä ja torjumisesta (Istanbulin yleissopimus),</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ottaa huomioon 8. maaliskuuta 2022 annetun komission ehdotuksen direktiiviksi naisiin kohdistuvan väkivallan ja lähisuhdeväkivallan torjumisesta,</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ottaa huomioon 5. maaliskuuta 2020 annetun komission tiedonannon ”Tasa-arvon unioni: sukupuolten tasa-arvostrategia 2020–2025”,</w:t>
      </w:r>
    </w:p>
    <w:p w14:paraId="0000000E" w14:textId="77777777" w:rsidR="00D50B28" w:rsidRPr="00E91B41" w:rsidRDefault="00FF04B6" w:rsidP="00E91B41">
      <w:pPr>
        <w:pStyle w:val="ListParagraph"/>
        <w:numPr>
          <w:ilvl w:val="0"/>
          <w:numId w:val="11"/>
        </w:numPr>
        <w:tabs>
          <w:tab w:val="clear" w:pos="0"/>
        </w:tabs>
        <w:ind w:left="850"/>
      </w:pPr>
      <w:r>
        <w:t xml:space="preserve">ottaa huomioon 16. syyskuuta 2021 annetun Euroopan parlamentin päätöslauselman suosituksista komissiolle </w:t>
      </w:r>
      <w:proofErr w:type="spellStart"/>
      <w:r>
        <w:t>sukupuolistuneen</w:t>
      </w:r>
      <w:proofErr w:type="spellEnd"/>
      <w:r>
        <w:t xml:space="preserve"> väkivallan määrittelemisestä uudeksi rikollisuuden alaksi, joka mainitaan SEUT-sopimuksen 83 artiklan 1 kohdassa,</w:t>
      </w:r>
    </w:p>
    <w:p w14:paraId="0000000F" w14:textId="6FB53ADD" w:rsidR="00D50B28" w:rsidRPr="00CF1E0A" w:rsidRDefault="00FF04B6" w:rsidP="00E91B41">
      <w:pPr>
        <w:pStyle w:val="ListParagraph"/>
        <w:numPr>
          <w:ilvl w:val="0"/>
          <w:numId w:val="11"/>
        </w:numPr>
        <w:tabs>
          <w:tab w:val="clear" w:pos="0"/>
        </w:tabs>
        <w:ind w:left="850"/>
      </w:pPr>
      <w:r>
        <w:t>ottaa huomioon 12. helmikuuta 2020 annetun Euroopan parlamentin päätöslauselman EU:n strategiasta naisten sukuelinten silpomisen lopettamiseksi kaikkialla maailmassa,</w:t>
      </w:r>
    </w:p>
    <w:p w14:paraId="00000010" w14:textId="77777777" w:rsidR="00D50B28" w:rsidRPr="00E91B41" w:rsidRDefault="00FF04B6" w:rsidP="00E91B41">
      <w:pPr>
        <w:pStyle w:val="ListParagraph"/>
        <w:numPr>
          <w:ilvl w:val="0"/>
          <w:numId w:val="11"/>
        </w:numPr>
        <w:tabs>
          <w:tab w:val="clear" w:pos="0"/>
        </w:tabs>
        <w:ind w:left="850"/>
      </w:pPr>
      <w:r>
        <w:t>ottaa huomioon kaikkinaisen naisten syrjinnän poistamista koskevan YK:n yleissopimuksen,</w:t>
      </w:r>
    </w:p>
    <w:p w14:paraId="00000011" w14:textId="4158C624" w:rsidR="00D50B28" w:rsidRPr="00E91B41" w:rsidRDefault="00FF04B6" w:rsidP="00E91B41">
      <w:pPr>
        <w:pStyle w:val="ListParagraph"/>
        <w:numPr>
          <w:ilvl w:val="0"/>
          <w:numId w:val="11"/>
        </w:numPr>
        <w:tabs>
          <w:tab w:val="clear" w:pos="0"/>
        </w:tabs>
        <w:ind w:left="850"/>
      </w:pPr>
      <w:r>
        <w:t>ottaa huomioon Kansainvälisen työjärjestön yleissopimuksen nro 190 väkivallan ja häirinnän poistamisesta työelämässä,</w:t>
      </w:r>
    </w:p>
    <w:p w14:paraId="00000012" w14:textId="42155ADE" w:rsidR="00D50B28" w:rsidRPr="00CF1E0A" w:rsidRDefault="00FF04B6" w:rsidP="00E91B41">
      <w:pPr>
        <w:pStyle w:val="ListParagraph"/>
        <w:numPr>
          <w:ilvl w:val="0"/>
          <w:numId w:val="11"/>
        </w:numPr>
        <w:tabs>
          <w:tab w:val="clear" w:pos="0"/>
        </w:tabs>
        <w:ind w:left="850"/>
      </w:pPr>
      <w:r>
        <w:t>ottaa huomioon Yhdistyneiden kansakuntien kestävän kehityksen tavoitteen nro 5 ”Sukupuolten tasa-arvo”,</w:t>
      </w:r>
    </w:p>
    <w:p w14:paraId="00000013" w14:textId="2F63E25F" w:rsidR="00D50B28" w:rsidRPr="00E91B41" w:rsidRDefault="00FF04B6" w:rsidP="00E91B41">
      <w:pPr>
        <w:pStyle w:val="ListParagraph"/>
        <w:numPr>
          <w:ilvl w:val="0"/>
          <w:numId w:val="11"/>
        </w:numPr>
        <w:tabs>
          <w:tab w:val="clear" w:pos="0"/>
        </w:tabs>
        <w:ind w:left="850"/>
      </w:pPr>
      <w:r>
        <w:t xml:space="preserve">ottaa huomioon 14. joulukuuta 2021 annetun Euroopan parlamentin päätöslauselman suosituksista komissiolle </w:t>
      </w:r>
      <w:proofErr w:type="spellStart"/>
      <w:r>
        <w:t>sukupuolistuneen</w:t>
      </w:r>
      <w:proofErr w:type="spellEnd"/>
      <w:r>
        <w:t xml:space="preserve"> verkkoväkivallan torjumisesta,</w:t>
      </w:r>
    </w:p>
    <w:p w14:paraId="19B3B425" w14:textId="213F096D" w:rsidR="0088414D" w:rsidRPr="00E91B41" w:rsidRDefault="0088414D" w:rsidP="00E91B41">
      <w:pPr>
        <w:pStyle w:val="ListParagraph"/>
        <w:numPr>
          <w:ilvl w:val="0"/>
          <w:numId w:val="11"/>
        </w:numPr>
        <w:tabs>
          <w:tab w:val="clear" w:pos="0"/>
        </w:tabs>
        <w:ind w:left="850"/>
      </w:pPr>
      <w:r>
        <w:t>ottaa huomioon Valencian alueparlamentin päätöslauselman alueen julistamisesta ”turvalliseksi paikaksi naisille”,</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katsoo, että naisten ja miesten tasa-arvo on yksi unionin keskeisistä arvoista ja perussopimuksissa ja Euroopan unionin perusoikeuskirjassa vahvistettu perusoikeus; </w:t>
      </w:r>
    </w:p>
    <w:p w14:paraId="00000016" w14:textId="77777777" w:rsidR="00D50B28" w:rsidRPr="00E91B41" w:rsidRDefault="00FF04B6" w:rsidP="00126E5F">
      <w:pPr>
        <w:pStyle w:val="ListParagraph"/>
        <w:numPr>
          <w:ilvl w:val="0"/>
          <w:numId w:val="5"/>
        </w:numPr>
        <w:shd w:val="clear" w:color="auto" w:fill="FFFFFF"/>
        <w:ind w:left="1134" w:hanging="567"/>
      </w:pPr>
      <w:r>
        <w:t xml:space="preserve">katsoo, että </w:t>
      </w:r>
      <w:proofErr w:type="spellStart"/>
      <w:r>
        <w:t>sukupuolistuneen</w:t>
      </w:r>
      <w:proofErr w:type="spellEnd"/>
      <w:r>
        <w:t xml:space="preserve"> väkivallan torjuminen EU:ssa on yhteinen tehtävä, joka edellyttää yhteisiä ponnisteluja ja toimia kaikilla hallinnon aloilla ja erityisesti paikallis- ja alueviranomaisilta, joilla on tässä keskeinen rooli ihmisiä lähimpänä olevana hallintotasona;</w:t>
      </w:r>
    </w:p>
    <w:p w14:paraId="547091C0" w14:textId="77777777" w:rsidR="009B4BD2" w:rsidRPr="00E91B41" w:rsidRDefault="00FF04B6" w:rsidP="00126E5F">
      <w:pPr>
        <w:pStyle w:val="ListParagraph"/>
        <w:numPr>
          <w:ilvl w:val="0"/>
          <w:numId w:val="5"/>
        </w:numPr>
        <w:shd w:val="clear" w:color="auto" w:fill="FFFFFF"/>
        <w:ind w:left="1134" w:hanging="567"/>
      </w:pPr>
      <w:r>
        <w:t xml:space="preserve">katsoo, että </w:t>
      </w:r>
      <w:proofErr w:type="spellStart"/>
      <w:r>
        <w:t>sukupuolistuneen</w:t>
      </w:r>
      <w:proofErr w:type="spellEnd"/>
      <w:r>
        <w:t xml:space="preserve"> väkivallan, myös miesten naisiin ja tyttöihin kohdistaman väkivallan, poistaminen on edellytys sukupuolten todellisen tasa-arvon saavuttamiselle;</w:t>
      </w:r>
    </w:p>
    <w:p w14:paraId="67C856DB" w14:textId="5158BDA7" w:rsidR="00FF4EE4" w:rsidRPr="00E91B41" w:rsidRDefault="00FF04B6" w:rsidP="00126E5F">
      <w:pPr>
        <w:pStyle w:val="ListParagraph"/>
        <w:numPr>
          <w:ilvl w:val="0"/>
          <w:numId w:val="5"/>
        </w:numPr>
        <w:shd w:val="clear" w:color="auto" w:fill="FFFFFF"/>
        <w:ind w:left="1134" w:hanging="567"/>
      </w:pPr>
      <w:r>
        <w:lastRenderedPageBreak/>
        <w:t xml:space="preserve">toteaa, että 31 prosenttia naisista Euroopassa on kokenut fyysistä väkivaltaa, 5 prosenttia on joutunut raiskauksen uhriksi EU-maissa, noin 50 naista menettää henkensä </w:t>
      </w:r>
      <w:proofErr w:type="spellStart"/>
      <w:r>
        <w:t>sukupuolistuneen</w:t>
      </w:r>
      <w:proofErr w:type="spellEnd"/>
      <w:r>
        <w:t xml:space="preserve"> väkivallan seurauksena viikoittain ja 43 prosenttia naisista on kokenut jonkinlaista henkistä lähisuhdeväkivaltaa samalla, kun väkivallasta ilmoittamisen arvioidaan olevan yhä paljon todellisia tapauksia vähäisempää;</w:t>
      </w:r>
    </w:p>
    <w:p w14:paraId="00000019" w14:textId="749DBCAA" w:rsidR="00D50B28" w:rsidRPr="00E91B41" w:rsidRDefault="009C55EF" w:rsidP="00126E5F">
      <w:pPr>
        <w:pStyle w:val="ListParagraph"/>
        <w:numPr>
          <w:ilvl w:val="0"/>
          <w:numId w:val="5"/>
        </w:numPr>
        <w:shd w:val="clear" w:color="auto" w:fill="FFFFFF"/>
        <w:ind w:left="1134" w:hanging="567"/>
      </w:pPr>
      <w:r>
        <w:t xml:space="preserve">katsoo, että </w:t>
      </w:r>
      <w:proofErr w:type="spellStart"/>
      <w:r>
        <w:t>sukupuolistunut</w:t>
      </w:r>
      <w:proofErr w:type="spellEnd"/>
      <w:r>
        <w:t xml:space="preserve"> väkivalta sekä verkossa että sen ulkopuolella ja puutteelliset mahdollisuudet saada riittävää suojelua vaarantavat useita perusoikeuksia, joista mainittakoon muun muassa oikeus elämään, oikeus ihmisarvoon, oikeus fyysiseen ja henkiseen koskemattomuuteen, kidutuksen sekä epäinhimillisen tai halventavan kohtelun tai rangaistuksen kielto, orjuuden ja pakkotyön kielto, oikeus vapauteen ja turvallisuuteen sekä oikeus yksityis- ja perhe-elämän kunnioittamiseen;</w:t>
      </w:r>
    </w:p>
    <w:p w14:paraId="0000001A" w14:textId="67D82D6F" w:rsidR="00D50B28" w:rsidRPr="00E91B41" w:rsidRDefault="00FF04B6" w:rsidP="00126E5F">
      <w:pPr>
        <w:pStyle w:val="ListParagraph"/>
        <w:numPr>
          <w:ilvl w:val="0"/>
          <w:numId w:val="5"/>
        </w:numPr>
        <w:shd w:val="clear" w:color="auto" w:fill="FFFFFF"/>
        <w:ind w:left="1134" w:hanging="567"/>
      </w:pPr>
      <w:r>
        <w:t>katsoo, että naisten ja tyttöjen sukupuoleen liittyvien surmaamisten (naismurhien) olisi oltava erillinen rikosten luokka, koska sukupuolineutraalissa termissä ”henkirikos” ei oteta huomioon epätasa-arvoa, sortoa ja naisiin kohdistuvaa järjestelmällistä väkivaltaa;</w:t>
      </w:r>
    </w:p>
    <w:p w14:paraId="59209E5F" w14:textId="6F453B37" w:rsidR="006A48E1" w:rsidRPr="00E91B41" w:rsidRDefault="006A48E1" w:rsidP="00126E5F">
      <w:pPr>
        <w:pStyle w:val="ListParagraph"/>
        <w:numPr>
          <w:ilvl w:val="0"/>
          <w:numId w:val="5"/>
        </w:numPr>
        <w:shd w:val="clear" w:color="auto" w:fill="FFFFFF"/>
        <w:ind w:left="1134" w:hanging="567"/>
      </w:pPr>
      <w:r>
        <w:t xml:space="preserve">katsoo, että </w:t>
      </w:r>
      <w:proofErr w:type="spellStart"/>
      <w:r>
        <w:t>sukupuolistunut</w:t>
      </w:r>
      <w:proofErr w:type="spellEnd"/>
      <w:r>
        <w:t xml:space="preserve"> väkivalta olisi määriteltävä perussopimuksissa rikollisuuden alaksi EU:ssa; </w:t>
      </w:r>
    </w:p>
    <w:p w14:paraId="0000001B" w14:textId="0A596767" w:rsidR="00D50B28" w:rsidRPr="00E91B41" w:rsidRDefault="00FF04B6" w:rsidP="00126E5F">
      <w:pPr>
        <w:pStyle w:val="ListParagraph"/>
        <w:numPr>
          <w:ilvl w:val="0"/>
          <w:numId w:val="5"/>
        </w:numPr>
        <w:shd w:val="clear" w:color="auto" w:fill="FFFFFF"/>
        <w:ind w:left="1134" w:hanging="567"/>
      </w:pPr>
      <w:r>
        <w:t>katsoo, että varhais- ja pakkoavioliitot ja naisten sukuelinten silpominen, jotka välittyvät perinteiden ja kulttuurin kautta, loukkaavat oikeutta vapauteen, ihmisarvoon ja fyysiseen koskemattomuuteen;</w:t>
      </w:r>
    </w:p>
    <w:p w14:paraId="26A48D57" w14:textId="22E094DD" w:rsidR="00AE19A0" w:rsidRPr="00E91B41" w:rsidRDefault="00FF04B6" w:rsidP="00126E5F">
      <w:pPr>
        <w:numPr>
          <w:ilvl w:val="0"/>
          <w:numId w:val="5"/>
        </w:numPr>
        <w:ind w:left="1134" w:hanging="567"/>
      </w:pPr>
      <w:r>
        <w:t xml:space="preserve">katsoo, että sukupuolistereotypioiden poistaminen ja sukupuoleen perustuvien sortotoimien lopettaminen sellaisten edistyksellisten opetussuunnitelmien avulla, joissa esikoulu-, perus- ja keskiasteen opetuksella on keskeinen rooli, on ratkaisevan tärkeää tyttöjen todellisen voimaannuttamisen kannalta; </w:t>
      </w:r>
    </w:p>
    <w:p w14:paraId="0000001C" w14:textId="55D130C6" w:rsidR="00D50B28" w:rsidRPr="00E91B41" w:rsidRDefault="00FF04B6" w:rsidP="00126E5F">
      <w:pPr>
        <w:numPr>
          <w:ilvl w:val="0"/>
          <w:numId w:val="5"/>
        </w:numPr>
        <w:ind w:left="1134" w:hanging="567"/>
      </w:pPr>
      <w:r>
        <w:t xml:space="preserve">katsoo, että kattavan ihmissuhde- ja seksuaalikasvatuksen – muun muassa pojille suunnattujen erityiskoulutusohjelmien – saatavuus on olennainen osa tällaisia edistyksellisiä opetussuunnitelmia, ja sillä on keskeinen rooli </w:t>
      </w:r>
      <w:proofErr w:type="spellStart"/>
      <w:r>
        <w:t>sukupuolistuneen</w:t>
      </w:r>
      <w:proofErr w:type="spellEnd"/>
      <w:r>
        <w:t xml:space="preserve"> väkivallan, naisvihan ja sukupuolistereotypioiden torjunnassa; </w:t>
      </w:r>
    </w:p>
    <w:p w14:paraId="0000001D" w14:textId="020A28D6" w:rsidR="00D50B28" w:rsidRPr="00E91B41" w:rsidRDefault="00FF04B6" w:rsidP="00126E5F">
      <w:pPr>
        <w:numPr>
          <w:ilvl w:val="0"/>
          <w:numId w:val="5"/>
        </w:numPr>
        <w:ind w:left="1134" w:hanging="567"/>
      </w:pPr>
      <w:r>
        <w:t xml:space="preserve">katsoo, että viranomaisten nollatoleranssi sitä kohtaan, että mainonnassa julkisilla paikoilla esitetään naisia syrjiviä tai esineellistäviä kuvia, on olennaisen tärkeää </w:t>
      </w:r>
      <w:proofErr w:type="spellStart"/>
      <w:r>
        <w:t>sukupuolistuneeseen</w:t>
      </w:r>
      <w:proofErr w:type="spellEnd"/>
      <w:r>
        <w:t xml:space="preserve"> väkivaltaan johtavien sukupuolistereotypioiden poistamiseksi; </w:t>
      </w:r>
    </w:p>
    <w:p w14:paraId="0000001E" w14:textId="14FD27E0" w:rsidR="00D50B28" w:rsidRPr="00E91B41" w:rsidRDefault="009C55EF" w:rsidP="00126E5F">
      <w:pPr>
        <w:numPr>
          <w:ilvl w:val="0"/>
          <w:numId w:val="5"/>
        </w:numPr>
        <w:ind w:left="1134" w:hanging="567"/>
      </w:pPr>
      <w:r>
        <w:t>katsoo, että sukupuolten tasa-arvon valtavirtaistaminen ja sukupuolitietoinen budjetointi ovat avainasemassa varmistettaessa, että naiset otetaan huomioon kaikissa toimintapolitiikoissa, ja että siksi tällaisille politiikoille olisi tehtävä tiukka sukupuolivaikutusten arviointi, myös kriisiaikoina.</w:t>
      </w:r>
    </w:p>
    <w:p w14:paraId="0000001F" w14:textId="77777777" w:rsidR="00D50B28" w:rsidRPr="00E91B41" w:rsidRDefault="00D50B28" w:rsidP="00126E5F">
      <w:pPr>
        <w:rPr>
          <w:lang w:val="en-GB"/>
        </w:rPr>
      </w:pPr>
    </w:p>
    <w:p w14:paraId="00000020" w14:textId="554904D4" w:rsidR="00D50B28" w:rsidRPr="00E91B41" w:rsidRDefault="00FF04B6" w:rsidP="00126E5F">
      <w:r>
        <w:t>Edellä esitetyn perusteella ______________________ (kunnan, kaupungin tai alueen nimi) kunnanvaltuusto/kaupunginvaltuusto/aluevaltuusto (tarpeeton yliviivataan) sitoutuu</w:t>
      </w:r>
    </w:p>
    <w:p w14:paraId="00000021" w14:textId="77777777" w:rsidR="00D50B28" w:rsidRPr="00E91B41" w:rsidRDefault="00D50B28" w:rsidP="00126E5F"/>
    <w:p w14:paraId="00000022" w14:textId="67557E81" w:rsidR="00D50B28" w:rsidRPr="00E91B41" w:rsidRDefault="00FF04B6" w:rsidP="00126E5F">
      <w:pPr>
        <w:numPr>
          <w:ilvl w:val="0"/>
          <w:numId w:val="6"/>
        </w:numPr>
        <w:ind w:left="1134" w:hanging="567"/>
      </w:pPr>
      <w:r>
        <w:t xml:space="preserve">julistamaan ______________________ (kunnan, kaupungin tai alueen nimi) turvalliseksi paikaksi naisille ja toteuttamaan julkista toimintapolitiikkaa, jolla yhtäältä varmistetaan naisten turvallisuus ja toisaalta rangaistaan nimenomaisesti kaikenlaisesta </w:t>
      </w:r>
      <w:proofErr w:type="spellStart"/>
      <w:r>
        <w:t>sukupuolistuneesta</w:t>
      </w:r>
      <w:proofErr w:type="spellEnd"/>
      <w:r>
        <w:t xml:space="preserve"> väkivallasta sekä varmistetaan naisten täysipainoinen ja tasapuolinen osallistuminen kaikissa prosessin vaiheissa;</w:t>
      </w:r>
    </w:p>
    <w:p w14:paraId="00000023" w14:textId="55E30BEE" w:rsidR="00D50B28" w:rsidRPr="00E91B41" w:rsidRDefault="00FF04B6" w:rsidP="00126E5F">
      <w:pPr>
        <w:numPr>
          <w:ilvl w:val="0"/>
          <w:numId w:val="6"/>
        </w:numPr>
        <w:ind w:left="1134" w:hanging="567"/>
      </w:pPr>
      <w:r>
        <w:t xml:space="preserve">varmistamaan </w:t>
      </w:r>
      <w:proofErr w:type="spellStart"/>
      <w:r>
        <w:t>sukupuolistuneen</w:t>
      </w:r>
      <w:proofErr w:type="spellEnd"/>
      <w:r>
        <w:t xml:space="preserve"> väkivallan, myös lähisuhde- ja seksuaalisen väkivallan, uhreille suoran ja keskeytymättömän mahdollisuuden saada erikoistuneita, turvallisia ja kattavia tukipalveluja;</w:t>
      </w:r>
    </w:p>
    <w:p w14:paraId="09712771" w14:textId="733FCC4E" w:rsidR="00840DBA" w:rsidRPr="00E91B41" w:rsidRDefault="00FF04B6" w:rsidP="00126E5F">
      <w:pPr>
        <w:numPr>
          <w:ilvl w:val="0"/>
          <w:numId w:val="6"/>
        </w:numPr>
        <w:ind w:left="1134" w:hanging="567"/>
      </w:pPr>
      <w:r>
        <w:lastRenderedPageBreak/>
        <w:t xml:space="preserve">varmistamaan </w:t>
      </w:r>
      <w:proofErr w:type="spellStart"/>
      <w:r>
        <w:t>sukupuolistuneen</w:t>
      </w:r>
      <w:proofErr w:type="spellEnd"/>
      <w:r>
        <w:t xml:space="preserve"> väkivallan tapausten syrjimättömästä rekisteröinnistä ja käsittelystä vastaavien toimivaltaisten viranomaisten nopean reagoinnin ja huolehtimaan uhrien ja heidän lastensa tehokasta ja välitöntä suojelua koskevista toimenpiteistä;</w:t>
      </w:r>
    </w:p>
    <w:p w14:paraId="69D11FE1" w14:textId="718DC1F9" w:rsidR="00840DBA" w:rsidRPr="00E91B41" w:rsidRDefault="00840DBA" w:rsidP="00126E5F">
      <w:pPr>
        <w:numPr>
          <w:ilvl w:val="0"/>
          <w:numId w:val="6"/>
        </w:numPr>
        <w:ind w:left="1134" w:hanging="567"/>
      </w:pPr>
      <w:r>
        <w:t xml:space="preserve">tarjoamaan sukupuolisensitiivistä koulutusta poliisille, viranomaisille sekä </w:t>
      </w:r>
      <w:proofErr w:type="spellStart"/>
      <w:r>
        <w:t>sukupuolistuneen</w:t>
      </w:r>
      <w:proofErr w:type="spellEnd"/>
      <w:r>
        <w:t xml:space="preserve"> väkivallan uhreiksi joutuneille naisille tarkoitettujen erikoistuneiden vastaanottokeskusten, myös turvakotien, henkilöstölle asettaen ensivaiheen toimijat siinä ehdottomalle etusijalle;</w:t>
      </w:r>
    </w:p>
    <w:p w14:paraId="1370AFB7" w14:textId="77777777" w:rsidR="003B351E" w:rsidRPr="00E91B41" w:rsidRDefault="00FF04B6" w:rsidP="00126E5F">
      <w:pPr>
        <w:numPr>
          <w:ilvl w:val="0"/>
          <w:numId w:val="6"/>
        </w:numPr>
        <w:ind w:left="1134" w:hanging="567"/>
      </w:pPr>
      <w:r>
        <w:t>keräämään hallinnollisia tietoja parisuhdeväkivallasta sekä naisten ja tyttöjen sukupuoleen liittyvistä surmaamisista (naismurhista), jotta voitaisiin osaltaan auttaa ehkäisemään ja torjumaan näitä väkivallan muotoja;</w:t>
      </w:r>
    </w:p>
    <w:p w14:paraId="752338A8" w14:textId="77777777" w:rsidR="003B351E" w:rsidRPr="00E91B41" w:rsidRDefault="00FF04B6" w:rsidP="00126E5F">
      <w:pPr>
        <w:numPr>
          <w:ilvl w:val="0"/>
          <w:numId w:val="6"/>
        </w:numPr>
        <w:ind w:left="1134" w:hanging="567"/>
      </w:pPr>
      <w:r>
        <w:t xml:space="preserve">soveltamaan nollatoleranssipolitiikkaa seksistiseen mainontaan, myös julkisilla paikoilla ja julkisessa liikenteessä, koska tällainen mainonta edistää haitallisia sukupuolistereotypioita; </w:t>
      </w:r>
    </w:p>
    <w:p w14:paraId="315213B2" w14:textId="68241AAD" w:rsidR="003B351E" w:rsidRPr="00E91B41" w:rsidRDefault="00FF04B6" w:rsidP="00126E5F">
      <w:pPr>
        <w:numPr>
          <w:ilvl w:val="0"/>
          <w:numId w:val="6"/>
        </w:numPr>
        <w:ind w:left="1134" w:hanging="567"/>
      </w:pPr>
      <w:r>
        <w:t xml:space="preserve">ottamaan järjestelmällisesti huomioon naisten turvallisuuden ja tarpeet päätettäessä budjettitoimenpiteistä, jotka liittyvät julkisiin palveluihin, kuten katuvalaistukseen, julkiseen liikenteeseen tai </w:t>
      </w:r>
      <w:proofErr w:type="spellStart"/>
      <w:r>
        <w:t>sukupuolistuneen</w:t>
      </w:r>
      <w:proofErr w:type="spellEnd"/>
      <w:r>
        <w:t xml:space="preserve"> väkivallan uhreille tarjottavien sosiaalipalvelujen resursseihin;</w:t>
      </w:r>
    </w:p>
    <w:p w14:paraId="3CCD35B5" w14:textId="64E5E95A" w:rsidR="00D7578C" w:rsidRPr="00E91B41" w:rsidRDefault="00D7578C" w:rsidP="00126E5F">
      <w:pPr>
        <w:numPr>
          <w:ilvl w:val="0"/>
          <w:numId w:val="6"/>
        </w:numPr>
        <w:ind w:left="1134" w:hanging="567"/>
      </w:pPr>
      <w:bookmarkStart w:id="0" w:name="_Hlk126162679"/>
      <w:r>
        <w:t xml:space="preserve">järjestämään kouluissa ja korkeakouluissa koulutusohjelmia, kursseja tai esitelmiä täydentämään opetussuunnitelmia käsiteltäessä ihmissuhteita ja seksuaalisuutta ja lisäämään varhaisesta iästä alkaen tietoisuutta sukupuoleen perustuvan häirinnän ja </w:t>
      </w:r>
      <w:proofErr w:type="spellStart"/>
      <w:r>
        <w:t>sukupuolistuneen</w:t>
      </w:r>
      <w:proofErr w:type="spellEnd"/>
      <w:r>
        <w:t xml:space="preserve"> väkivallan vaikutuksista;</w:t>
      </w:r>
      <w:bookmarkEnd w:id="0"/>
    </w:p>
    <w:p w14:paraId="567CF1E6" w14:textId="77777777" w:rsidR="00D7578C" w:rsidRPr="00E91B41" w:rsidRDefault="00FF04B6" w:rsidP="00126E5F">
      <w:pPr>
        <w:numPr>
          <w:ilvl w:val="0"/>
          <w:numId w:val="6"/>
        </w:numPr>
        <w:ind w:left="1134" w:hanging="567"/>
      </w:pPr>
      <w:r>
        <w:t>pysymään valppaana ja määräämään välittömiä seuraamuksia ihmiskaupasta sekä naisille ja tytöille haitallisista käytännöistä (naisten sukuelinten silpominen, varhais- ja pakkoavioliitot, pakkosterilointi);</w:t>
      </w:r>
    </w:p>
    <w:p w14:paraId="0BBC2CCE" w14:textId="77777777" w:rsidR="00D7578C" w:rsidRPr="00E91B41" w:rsidRDefault="00FF04B6" w:rsidP="00126E5F">
      <w:pPr>
        <w:numPr>
          <w:ilvl w:val="0"/>
          <w:numId w:val="6"/>
        </w:numPr>
        <w:ind w:left="1134" w:hanging="567"/>
      </w:pPr>
      <w:r>
        <w:t xml:space="preserve">pysymään valppaana ja soveltamaan nollatoleranssia kaikenlaisiin </w:t>
      </w:r>
      <w:proofErr w:type="spellStart"/>
      <w:r>
        <w:t>sukupuolistuneen</w:t>
      </w:r>
      <w:proofErr w:type="spellEnd"/>
      <w:r>
        <w:t xml:space="preserve"> verkkoväkivallan muotoihin;</w:t>
      </w:r>
    </w:p>
    <w:p w14:paraId="6A04C8ED" w14:textId="77777777" w:rsidR="00D7578C" w:rsidRPr="00E91B41" w:rsidRDefault="00155B5B" w:rsidP="00126E5F">
      <w:pPr>
        <w:numPr>
          <w:ilvl w:val="0"/>
          <w:numId w:val="6"/>
        </w:numPr>
        <w:ind w:left="1134" w:hanging="567"/>
      </w:pPr>
      <w:r>
        <w:t xml:space="preserve">lisäämään yleistä tietoisuutta </w:t>
      </w:r>
      <w:proofErr w:type="spellStart"/>
      <w:r>
        <w:t>sukupuolistuneesta</w:t>
      </w:r>
      <w:proofErr w:type="spellEnd"/>
      <w:r>
        <w:t xml:space="preserve"> väkivallasta viestintäkampanjoin, joilla pyritään myös tiedottamaan uhreille siitä, missä ja miten he voivat saada tukipalveluja, ja jotka huipentuvat naisiin kohdistuvan väkivallan lopettamiseksi vietettävään kansainväliseen päivään (25. marraskuuta); </w:t>
      </w:r>
    </w:p>
    <w:p w14:paraId="0000002D" w14:textId="1BA154B6" w:rsidR="00D50B28" w:rsidRPr="00CF1E0A" w:rsidRDefault="00FF04B6" w:rsidP="00126E5F">
      <w:pPr>
        <w:numPr>
          <w:ilvl w:val="0"/>
          <w:numId w:val="6"/>
        </w:numPr>
        <w:ind w:left="1134" w:hanging="567"/>
      </w:pPr>
      <w:r>
        <w:t xml:space="preserve">näyttämään esimerkkiä ______________________ (kunnan, kaupungin tai alueen nimi) organisaatiossa ja toiminnassa.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fi-FI"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A5707"/>
    <w:rsid w:val="001F01E6"/>
    <w:rsid w:val="00236DF8"/>
    <w:rsid w:val="00260BFF"/>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4645C"/>
    <w:rsid w:val="00456376"/>
    <w:rsid w:val="00473D1F"/>
    <w:rsid w:val="00494A60"/>
    <w:rsid w:val="004B4A5C"/>
    <w:rsid w:val="004D6AFD"/>
    <w:rsid w:val="004F07E0"/>
    <w:rsid w:val="00527C39"/>
    <w:rsid w:val="005365B6"/>
    <w:rsid w:val="00537037"/>
    <w:rsid w:val="00570266"/>
    <w:rsid w:val="005F7C88"/>
    <w:rsid w:val="006110AD"/>
    <w:rsid w:val="00656BC1"/>
    <w:rsid w:val="0066557B"/>
    <w:rsid w:val="006A48E1"/>
    <w:rsid w:val="006D6E47"/>
    <w:rsid w:val="006E0600"/>
    <w:rsid w:val="00705B05"/>
    <w:rsid w:val="007750C5"/>
    <w:rsid w:val="0078512B"/>
    <w:rsid w:val="007C0121"/>
    <w:rsid w:val="00840DBA"/>
    <w:rsid w:val="00843443"/>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25E78"/>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56348"/>
    <w:rsid w:val="00FE61A0"/>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i-FI"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fi-FI" w:eastAsia="en-US"/>
    </w:rPr>
  </w:style>
  <w:style w:type="character" w:customStyle="1" w:styleId="Heading2Char">
    <w:name w:val="Heading 2 Char"/>
    <w:basedOn w:val="DefaultParagraphFont"/>
    <w:link w:val="Heading2"/>
    <w:rsid w:val="000E2371"/>
    <w:rPr>
      <w:lang w:val="fi-FI" w:eastAsia="en-US"/>
    </w:rPr>
  </w:style>
  <w:style w:type="character" w:customStyle="1" w:styleId="Heading3Char">
    <w:name w:val="Heading 3 Char"/>
    <w:basedOn w:val="DefaultParagraphFont"/>
    <w:link w:val="Heading3"/>
    <w:rsid w:val="000E2371"/>
    <w:rPr>
      <w:lang w:val="fi-FI" w:eastAsia="en-US"/>
    </w:rPr>
  </w:style>
  <w:style w:type="character" w:customStyle="1" w:styleId="Heading4Char">
    <w:name w:val="Heading 4 Char"/>
    <w:basedOn w:val="DefaultParagraphFont"/>
    <w:link w:val="Heading4"/>
    <w:rsid w:val="000E2371"/>
    <w:rPr>
      <w:lang w:val="fi-FI" w:eastAsia="en-US"/>
    </w:rPr>
  </w:style>
  <w:style w:type="character" w:customStyle="1" w:styleId="Heading5Char">
    <w:name w:val="Heading 5 Char"/>
    <w:basedOn w:val="DefaultParagraphFont"/>
    <w:link w:val="Heading5"/>
    <w:rsid w:val="000E2371"/>
    <w:rPr>
      <w:lang w:val="fi-FI" w:eastAsia="en-US"/>
    </w:rPr>
  </w:style>
  <w:style w:type="character" w:customStyle="1" w:styleId="Heading6Char">
    <w:name w:val="Heading 6 Char"/>
    <w:basedOn w:val="DefaultParagraphFont"/>
    <w:link w:val="Heading6"/>
    <w:rsid w:val="000E2371"/>
    <w:rPr>
      <w:lang w:val="fi-FI" w:eastAsia="en-US"/>
    </w:rPr>
  </w:style>
  <w:style w:type="character" w:customStyle="1" w:styleId="Heading7Char">
    <w:name w:val="Heading 7 Char"/>
    <w:basedOn w:val="DefaultParagraphFont"/>
    <w:link w:val="Heading7"/>
    <w:rsid w:val="000E2371"/>
    <w:rPr>
      <w:lang w:val="fi-FI" w:eastAsia="en-US"/>
    </w:rPr>
  </w:style>
  <w:style w:type="character" w:customStyle="1" w:styleId="Heading8Char">
    <w:name w:val="Heading 8 Char"/>
    <w:basedOn w:val="DefaultParagraphFont"/>
    <w:link w:val="Heading8"/>
    <w:rsid w:val="000E2371"/>
    <w:rPr>
      <w:lang w:val="fi-FI" w:eastAsia="en-US"/>
    </w:rPr>
  </w:style>
  <w:style w:type="character" w:customStyle="1" w:styleId="Heading9Char">
    <w:name w:val="Heading 9 Char"/>
    <w:basedOn w:val="DefaultParagraphFont"/>
    <w:link w:val="Heading9"/>
    <w:rsid w:val="000E2371"/>
    <w:rPr>
      <w:lang w:val="fi-FI"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fi-FI"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fi-FI"/>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fi-FI"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fi-F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PWMHTDDKQ3QZ-1287546590-1452</_dlc_DocId>
    <_dlc_DocIdUrl xmlns="eff9f743-c5e6-45b1-888b-0c3422c38b02">
      <Url>http://dm2016/cor/2023/_layouts/15/DocIdRedir.aspx?ID=PWMHTDDKQ3QZ-1287546590-1452</Url>
      <Description>PWMHTDDKQ3QZ-1287546590-1452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Eskelinen Juha</DisplayName>
        <AccountId>1588</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55016-318F-4022-BD57-1C9BFAD200D9}">
  <ds:schemaRefs>
    <ds:schemaRef ds:uri="http://schemas.microsoft.com/sharepoint/events"/>
  </ds:schemaRefs>
</ds:datastoreItem>
</file>

<file path=customXml/itemProps2.xml><?xml version="1.0" encoding="utf-8"?>
<ds:datastoreItem xmlns:ds="http://schemas.openxmlformats.org/officeDocument/2006/customXml" ds:itemID="{903F81BB-CB12-4E7A-8CEE-55E5DFAE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EA16D-8784-4FDB-99C2-C93010CB83C3}">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4.xml><?xml version="1.0" encoding="utf-8"?>
<ds:datastoreItem xmlns:ds="http://schemas.openxmlformats.org/officeDocument/2006/customXml" ds:itemID="{C9887795-65CA-4386-B8D6-2E35ACF2E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Naisia koskeva päivitetty päätöslauselma_FI</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8</cp:revision>
  <dcterms:created xsi:type="dcterms:W3CDTF">2023-02-06T09:51:00Z</dcterms:created>
  <dcterms:modified xsi:type="dcterms:W3CDTF">2023-02-18T15:54:00Z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8e040304-0951-43d0-97b4-8190b260e8e4</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ET|ff6c3f4c-b02c-4c3c-ab07-2c37995a7a0a;IT|0774613c-01ed-4e5d-a25d-11d2388de825;BG|1a1b3951-7821-4e6a-85f5-5673fc08bd2c;LV|46f7e311-5d9f-4663-b433-18aeccb7ace7;FR|d2afafd3-4c81-4f60-8f52-ee33f2f54ff3;EN|f2175f21-25d7-44a3-96da-d6a61b075e1b;SL|98a412ae-eb01-49e9-ae3d-585a81724cfc;NL|55c6556c-b4f4-441d-9acf-c498d4f838bd;SV|c2ed69e7-a339-43d7-8f22-d93680a92aa0;CS|72f9705b-0217-4fd3-bea2-cbc7ed80e26e;DE|f6b31e5a-26fa-4935-b661-318e46daf27e;EL|6d4f4d51-af9b-4650-94b4-4276bee85c91;MT|7df99101-6854-4a26-b53a-b88c0da02c26;ES|e7a6b05b-ae16-40c8-add9-68b64b03aeba;DA|5d49c027-8956-412b-aa16-e85a0f96ad0e;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33;#SL|98a412ae-eb01-49e9-ae3d-585a81724cfc;#28;#BG|1a1b3951-7821-4e6a-85f5-5673fc08bd2c;#27;#ET|ff6c3f4c-b02c-4c3c-ab07-2c37995a7a0a;#26;#LV|46f7e311-5d9f-4663-b433-18aeccb7ace7;#25;#ES|e7a6b05b-ae16-40c8-add9-68b64b03aeba;#24;#FR|d2afafd3-4c81-4f60-8f52-ee33f2f54ff3;#21;#CS|72f9705b-0217-4fd3-bea2-cbc7ed80e26e;#20;#NL|55c6556c-b4f4-441d-9acf-c498d4f838bd;#19;#SK|46d9fce0-ef79-4f71-b89b-cd6aa82426b8;#18;#PL|1e03da61-4678-4e07-b136-b5024ca9197b;#17;#DE|f6b31e5a-26fa-4935-b661-318e46daf27e;#16;#IT|0774613c-01ed-4e5d-a25d-11d2388de825;#15;#DA|5d49c027-8956-412b-aa16-e85a0f96ad0e;#14;#RO|feb747a2-64cd-4299-af12-4833ddc30497;#13;#MT|7df99101-6854-4a26-b53a-b88c0da02c26;#10;#SV|c2ed69e7-a339-43d7-8f22-d93680a92aa0;#7;#Final|ea5e6674-7b27-4bac-b091-73adbb394efe;#35;#EL|6d4f4d51-af9b-4650-94b4-4276bee85c91;#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32;#FI|87606a43-d45f-42d6-b8c9-e1a3457db5b7</vt:lpwstr>
  </property>
</Properties>
</file>