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rPr>
      </w:pPr>
      <w:r>
        <w:rPr>
          <w:i/>
        </w:rPr>
        <w:t xml:space="preserve">Toliau pateiktą rezoliucijos teksto pavyzdį suinteresuotos savivaldybės, miestai ar regionai gali pritaikyti pagal savo vietos ar regiono ypatumus. </w:t>
      </w:r>
    </w:p>
    <w:p w14:paraId="00000002" w14:textId="22590471" w:rsidR="00D50B28" w:rsidRPr="00E91B41" w:rsidRDefault="00D50B28" w:rsidP="00126E5F">
      <w:pPr>
        <w:rPr>
          <w:b/>
          <w:i/>
        </w:rPr>
      </w:pPr>
    </w:p>
    <w:p w14:paraId="00000003" w14:textId="67172CB0" w:rsidR="00D50B28" w:rsidRPr="00E91B41" w:rsidRDefault="00FF04B6" w:rsidP="00126E5F">
      <w:pPr>
        <w:rPr>
          <w:b/>
        </w:rPr>
      </w:pPr>
      <w:r>
        <w:rPr>
          <w:b/>
        </w:rPr>
        <w:t>Savivaldybės/miesto/regiono tarybos rezoliucijos dėl ______________________ (miesto/regiono pavadinimas) PASKELBIMO „Saugi vieta moterims“ teksto pavyzdys</w:t>
      </w:r>
    </w:p>
    <w:p w14:paraId="00000004" w14:textId="77777777" w:rsidR="00D50B28" w:rsidRPr="00E91B41" w:rsidRDefault="00D50B28" w:rsidP="00126E5F">
      <w:pPr>
        <w:rPr>
          <w:lang w:val="en-GB"/>
        </w:rPr>
      </w:pPr>
    </w:p>
    <w:p w14:paraId="00000005" w14:textId="6D2669EA" w:rsidR="00D50B28" w:rsidRPr="00E91B41" w:rsidRDefault="00FF04B6" w:rsidP="00126E5F">
      <w:r>
        <w:t>______________________ (miesto/regiono pavadinimas) savivaldybės/regiono taryba (nereikalingą įrašą išbraukti),</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atsižvelgdama į Visuotinę žmogaus teisių deklaraciją,</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atsižvelgdama į Europos Sąjungos sutarties (toliau – ES sutartis) 2 ir 3 straipsnius,</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atsižvelgdama į Europos Sąjungos pagrindinių teisių chartiją,</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atsižvelgdama į Europos žmogaus teisių konvenciją ir susijusią Europos Žmogaus Teisių Teismo praktiką,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atsižvelgdama į Europos Tarybos konvenciją dėl smurto prieš moteris ir smurto šeimoje prevencijos ir kovos su juo (toliau – Stambulo konvencija),</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atsižvelgdama į 2022 m. kovo 8 d. Komisijos pasiūlymą dėl direktyvos dėl kovos su smurtu prieš moteris ir smurtu šeimoje,</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 xml:space="preserve">atsižvelgdama į 2020 m. kovo 5 d. Komisijos komunikatą </w:t>
      </w:r>
      <w:r>
        <w:rPr>
          <w:i/>
          <w:color w:val="000000" w:themeColor="text1"/>
          <w:sz w:val="22"/>
        </w:rPr>
        <w:t>Lygybės sąjunga. 2020–2025 m. lyčių lygybės strategija</w:t>
      </w:r>
      <w:r>
        <w:rPr>
          <w:color w:val="000000" w:themeColor="text1"/>
          <w:sz w:val="22"/>
        </w:rPr>
        <w:t>,</w:t>
      </w:r>
    </w:p>
    <w:p w14:paraId="0000000E" w14:textId="77777777" w:rsidR="00D50B28" w:rsidRPr="00E91B41" w:rsidRDefault="00FF04B6" w:rsidP="00E91B41">
      <w:pPr>
        <w:pStyle w:val="ListParagraph"/>
        <w:numPr>
          <w:ilvl w:val="0"/>
          <w:numId w:val="11"/>
        </w:numPr>
        <w:tabs>
          <w:tab w:val="clear" w:pos="0"/>
        </w:tabs>
        <w:ind w:left="850"/>
      </w:pPr>
      <w:r>
        <w:t>atsižvelgdama į 2021 m. rugsėjo 16 d. Europos Parlamento rezoliuciją su rekomendacijomis Komisijai dėl smurto lyties pagrindu nustatymo nauja nusikaltimų sritimi, nurodyta SESV 83 straipsnio 1 dalyje,</w:t>
      </w:r>
    </w:p>
    <w:p w14:paraId="0000000F" w14:textId="6FB53ADD" w:rsidR="00D50B28" w:rsidRPr="00CF1E0A" w:rsidRDefault="00FF04B6" w:rsidP="00E91B41">
      <w:pPr>
        <w:pStyle w:val="ListParagraph"/>
        <w:numPr>
          <w:ilvl w:val="0"/>
          <w:numId w:val="11"/>
        </w:numPr>
        <w:tabs>
          <w:tab w:val="clear" w:pos="0"/>
        </w:tabs>
        <w:ind w:left="850"/>
      </w:pPr>
      <w:r>
        <w:t>atsižvelgdama į Europos Parlamento 2020 m. vasario 12 d. rezoliuciją dėl ES strategijos, kuria siekiama sustabdyti moterų lyties organų žalojimą pasaulyje,</w:t>
      </w:r>
    </w:p>
    <w:p w14:paraId="00000010" w14:textId="77777777" w:rsidR="00D50B28" w:rsidRPr="00E91B41" w:rsidRDefault="00FF04B6" w:rsidP="00E91B41">
      <w:pPr>
        <w:pStyle w:val="ListParagraph"/>
        <w:numPr>
          <w:ilvl w:val="0"/>
          <w:numId w:val="11"/>
        </w:numPr>
        <w:tabs>
          <w:tab w:val="clear" w:pos="0"/>
        </w:tabs>
        <w:ind w:left="850"/>
      </w:pPr>
      <w:r>
        <w:t>atsižvelgdama į JT Konvenciją dėl visų formų diskriminacijos panaikinimo moterims (CEDAW),</w:t>
      </w:r>
    </w:p>
    <w:p w14:paraId="00000011" w14:textId="4158C624" w:rsidR="00D50B28" w:rsidRPr="00E91B41" w:rsidRDefault="00FF04B6" w:rsidP="00E91B41">
      <w:pPr>
        <w:pStyle w:val="ListParagraph"/>
        <w:numPr>
          <w:ilvl w:val="0"/>
          <w:numId w:val="11"/>
        </w:numPr>
        <w:tabs>
          <w:tab w:val="clear" w:pos="0"/>
        </w:tabs>
        <w:ind w:left="850"/>
      </w:pPr>
      <w:r>
        <w:t>atsižvelgdama į Tarptautinės darbo organizacijos konvenciją Nr. 190 dėl smurto ir priekabiavimo darbo pasaulyje panaikinimo,</w:t>
      </w:r>
    </w:p>
    <w:p w14:paraId="00000012" w14:textId="42155ADE" w:rsidR="00D50B28" w:rsidRPr="00CF1E0A" w:rsidRDefault="00FF04B6" w:rsidP="00E91B41">
      <w:pPr>
        <w:pStyle w:val="ListParagraph"/>
        <w:numPr>
          <w:ilvl w:val="0"/>
          <w:numId w:val="11"/>
        </w:numPr>
        <w:tabs>
          <w:tab w:val="clear" w:pos="0"/>
        </w:tabs>
        <w:ind w:left="850"/>
      </w:pPr>
      <w:r>
        <w:t>atsižvelgdama į 5-ąjį Jungtinių Tautų darnaus vystymosi tikslą „Lyčių lygybė“,</w:t>
      </w:r>
    </w:p>
    <w:p w14:paraId="00000013" w14:textId="2F63E25F" w:rsidR="00D50B28" w:rsidRPr="00E91B41" w:rsidRDefault="00FF04B6" w:rsidP="00E91B41">
      <w:pPr>
        <w:pStyle w:val="ListParagraph"/>
        <w:numPr>
          <w:ilvl w:val="0"/>
          <w:numId w:val="11"/>
        </w:numPr>
        <w:tabs>
          <w:tab w:val="clear" w:pos="0"/>
        </w:tabs>
        <w:ind w:left="850"/>
      </w:pPr>
      <w:r>
        <w:t>atsižvelgdama į Europos Parlamento 2021 m. gruodžio 14 d. rezoliuciją su rekomendacijomis Komisijai dėl kovos su kibernetiniu smurtu dėl lyties,</w:t>
      </w:r>
    </w:p>
    <w:p w14:paraId="19B3B425" w14:textId="213F096D" w:rsidR="0088414D" w:rsidRPr="00E91B41" w:rsidRDefault="0088414D" w:rsidP="00E91B41">
      <w:pPr>
        <w:pStyle w:val="ListParagraph"/>
        <w:numPr>
          <w:ilvl w:val="0"/>
          <w:numId w:val="11"/>
        </w:numPr>
        <w:tabs>
          <w:tab w:val="clear" w:pos="0"/>
        </w:tabs>
        <w:ind w:left="850"/>
      </w:pPr>
      <w:r>
        <w:t>atsižvelgdama į Valensijos regiono tarybos rezoliuciją dėl regiono paskelbimo „Saugia vieta moterims“,</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kadangi moterų ir vyrų lyčių lygybė yra pagrindinė Sąjungos vertybė ir pagrindinė teisė, įtvirtinta Sutartyse ir Europos Sąjungos pagrindinių teisių chartijoje; </w:t>
      </w:r>
    </w:p>
    <w:p w14:paraId="00000016" w14:textId="77777777" w:rsidR="00D50B28" w:rsidRPr="00E91B41" w:rsidRDefault="00FF04B6" w:rsidP="00126E5F">
      <w:pPr>
        <w:pStyle w:val="ListParagraph"/>
        <w:numPr>
          <w:ilvl w:val="0"/>
          <w:numId w:val="5"/>
        </w:numPr>
        <w:shd w:val="clear" w:color="auto" w:fill="FFFFFF"/>
        <w:ind w:left="1134" w:hanging="567"/>
      </w:pPr>
      <w:r>
        <w:t>kadangi kova su smurtu dėl lyties ES yra bendra atsakomybė, kuriai reikalingos bendros pastangos ir bendri veiksmai visais valdžios lygmenimis, ypač vietos ir regionų valdžios institucijų, kurioms šioje srityje tenka pagrindinis vaidmuo, nes jos yra arčiausiai žmonių esantis vietos lygmuo;</w:t>
      </w:r>
    </w:p>
    <w:p w14:paraId="547091C0" w14:textId="77777777" w:rsidR="009B4BD2" w:rsidRPr="00E91B41" w:rsidRDefault="00FF04B6" w:rsidP="00126E5F">
      <w:pPr>
        <w:pStyle w:val="ListParagraph"/>
        <w:numPr>
          <w:ilvl w:val="0"/>
          <w:numId w:val="5"/>
        </w:numPr>
        <w:shd w:val="clear" w:color="auto" w:fill="FFFFFF"/>
        <w:ind w:left="1134" w:hanging="567"/>
      </w:pPr>
      <w:r>
        <w:t>kadangi smurto dėl lyties, įskaitant vyrų smurtą prieš moteris ir mergaites, panaikinimas yra išankstinė tikros lyčių lygybės užtikrinimo sąlyga;</w:t>
      </w:r>
    </w:p>
    <w:p w14:paraId="67C856DB" w14:textId="5158BDA7" w:rsidR="00FF4EE4" w:rsidRPr="00E91B41" w:rsidRDefault="00FF04B6" w:rsidP="00126E5F">
      <w:pPr>
        <w:pStyle w:val="ListParagraph"/>
        <w:numPr>
          <w:ilvl w:val="0"/>
          <w:numId w:val="5"/>
        </w:numPr>
        <w:shd w:val="clear" w:color="auto" w:fill="FFFFFF"/>
        <w:ind w:left="1134" w:hanging="567"/>
      </w:pPr>
      <w:r>
        <w:t xml:space="preserve">kadangi 31 proc. moterų Europoje yra patyrusios fizinį smurtą, 5 proc. moterų ES šalyse buvo išprievartautos, kiekvieną savaitę apie 50 moterų netenka gyvybės dėl smurto dėl </w:t>
      </w:r>
      <w:r>
        <w:lastRenderedPageBreak/>
        <w:t>lyties ir 43 proc. moterų yra patyrusios vienokio ar kitokio pobūdžio psichologinį smurtą iš artimo partnerio, kartu manoma, kad apie labai daug smurto atvejų vis dar lieka nepranešta;</w:t>
      </w:r>
    </w:p>
    <w:p w14:paraId="00000019" w14:textId="749DBCAA" w:rsidR="00D50B28" w:rsidRPr="00E91B41" w:rsidRDefault="009C55EF" w:rsidP="00126E5F">
      <w:pPr>
        <w:pStyle w:val="ListParagraph"/>
        <w:numPr>
          <w:ilvl w:val="0"/>
          <w:numId w:val="5"/>
        </w:numPr>
        <w:shd w:val="clear" w:color="auto" w:fill="FFFFFF"/>
        <w:ind w:left="1134" w:hanging="567"/>
      </w:pPr>
      <w:r>
        <w:t>kadangi smurtas dėl lyties tiek internete, tiek realiame gyvenime ir galimybės gauti tinkamą apsaugą nebuvimas kelia pavojų daugeliui pagrindinių teisių, įskaitant teisę į gyvybę, teisę į žmogaus orumą, teisę į fizinę ir psichinę neliečiamybę, kankinimo ir nežmoniško ar žeminančio elgesio arba baudimo uždraudimą, vergijos ir priverstinio darbo draudimą, teisę į laisvę ir saugumą ir teisę į privatų ir šeimos gyvenimą;</w:t>
      </w:r>
    </w:p>
    <w:p w14:paraId="0000001A" w14:textId="67D82D6F" w:rsidR="00D50B28" w:rsidRPr="00E91B41" w:rsidRDefault="00FF04B6" w:rsidP="00126E5F">
      <w:pPr>
        <w:pStyle w:val="ListParagraph"/>
        <w:numPr>
          <w:ilvl w:val="0"/>
          <w:numId w:val="5"/>
        </w:numPr>
        <w:shd w:val="clear" w:color="auto" w:fill="FFFFFF"/>
        <w:ind w:left="1134" w:hanging="567"/>
      </w:pPr>
      <w:r>
        <w:t>kadangi su lytimi susiję moterų ir mergaičių nužudymai (</w:t>
      </w:r>
      <w:proofErr w:type="spellStart"/>
      <w:r>
        <w:t>moteržudystės</w:t>
      </w:r>
      <w:proofErr w:type="spellEnd"/>
      <w:r>
        <w:t>) turėtų būti atskira nusikaltimų kategorija, nes lyties požiūriu neutralus nužudymo terminas neatspindi realios nelygybės, priespaudos ir sistemingo smurto prieš moteris;</w:t>
      </w:r>
    </w:p>
    <w:p w14:paraId="59209E5F" w14:textId="6F453B37" w:rsidR="006A48E1" w:rsidRPr="00E91B41" w:rsidRDefault="006A48E1" w:rsidP="00126E5F">
      <w:pPr>
        <w:pStyle w:val="ListParagraph"/>
        <w:numPr>
          <w:ilvl w:val="0"/>
          <w:numId w:val="5"/>
        </w:numPr>
        <w:shd w:val="clear" w:color="auto" w:fill="FFFFFF"/>
        <w:ind w:left="1134" w:hanging="567"/>
      </w:pPr>
      <w:r>
        <w:t>kadangi Europos Sąjungoje smurtas dėl lyties turėtų būti įvardytas kaip Sutartyse apibrėžta nusikaltimų sritis; </w:t>
      </w:r>
    </w:p>
    <w:p w14:paraId="0000001B" w14:textId="0A596767" w:rsidR="00D50B28" w:rsidRPr="00E91B41" w:rsidRDefault="00FF04B6" w:rsidP="00126E5F">
      <w:pPr>
        <w:pStyle w:val="ListParagraph"/>
        <w:numPr>
          <w:ilvl w:val="0"/>
          <w:numId w:val="5"/>
        </w:numPr>
        <w:shd w:val="clear" w:color="auto" w:fill="FFFFFF"/>
        <w:ind w:left="1134" w:hanging="567"/>
      </w:pPr>
      <w:r>
        <w:t>kadangi ankstyvų ir priverstinių santuokų ir moterų lyties organų žalojimo praktika, perduodama per tradicijas ir kultūrą, yra teisės į laisvę, žmogaus orumą ir fizinę neliečiamybę pažeidimas;</w:t>
      </w:r>
    </w:p>
    <w:p w14:paraId="26A48D57" w14:textId="22E094DD" w:rsidR="00AE19A0" w:rsidRPr="00E91B41" w:rsidRDefault="00FF04B6" w:rsidP="00126E5F">
      <w:pPr>
        <w:numPr>
          <w:ilvl w:val="0"/>
          <w:numId w:val="5"/>
        </w:numPr>
        <w:ind w:left="1134" w:hanging="567"/>
      </w:pPr>
      <w:r>
        <w:t xml:space="preserve">kadangi lyčių stereotipų panaikinimas ir represinių su lytimi susijusių veiksmų sustabdymas pasitelkiant pažangias švietimo programas, ypač per ikimokyklinio, pradinio ir vidurinio ugdymo ciklus, yra lemiamas veiksnys siekiant visiško mergaičių įgalėjimo; </w:t>
      </w:r>
    </w:p>
    <w:p w14:paraId="0000001C" w14:textId="55D130C6" w:rsidR="00D50B28" w:rsidRPr="00E91B41" w:rsidRDefault="00FF04B6" w:rsidP="00126E5F">
      <w:pPr>
        <w:numPr>
          <w:ilvl w:val="0"/>
          <w:numId w:val="5"/>
        </w:numPr>
        <w:ind w:left="1134" w:hanging="567"/>
      </w:pPr>
      <w:r>
        <w:t xml:space="preserve">kadangi visapusiško švietimo santykių ir lytiškumo klausimais, įskaitant berniukams skirtas specializuotas švietimo programas, prieinamumas yra neatsiejama tokių pažangių mokymo programų dalis ir atlieka esminį vaidmenį kovojant su smurtu dėl lyties, neapykanta moterims ir lyčių stereotipais; </w:t>
      </w:r>
    </w:p>
    <w:p w14:paraId="0000001D" w14:textId="020A28D6" w:rsidR="00D50B28" w:rsidRPr="00E91B41" w:rsidRDefault="00FF04B6" w:rsidP="00126E5F">
      <w:pPr>
        <w:numPr>
          <w:ilvl w:val="0"/>
          <w:numId w:val="5"/>
        </w:numPr>
        <w:ind w:left="1134" w:hanging="567"/>
      </w:pPr>
      <w:r>
        <w:t xml:space="preserve">kadangi siekiant panaikinti lyčių stereotipus, kurstančius smurtą dėl lyties, labai svarbu, kad valdžios institucijos visiškai netoleruotų moteris diskriminuojančių ar sudaiktinančių  vaizdų viešoje reklamoje; </w:t>
      </w:r>
    </w:p>
    <w:p w14:paraId="0000001E" w14:textId="14FD27E0" w:rsidR="00D50B28" w:rsidRPr="00E91B41" w:rsidRDefault="009C55EF" w:rsidP="00126E5F">
      <w:pPr>
        <w:numPr>
          <w:ilvl w:val="0"/>
          <w:numId w:val="5"/>
        </w:numPr>
        <w:ind w:left="1134" w:hanging="567"/>
      </w:pPr>
      <w:r>
        <w:t>kadangi lyčių aspekto integravimas ir biudžeto sudarymas atsižvelgiant į lyčių aspektą yra labai svarbūs veiksniai siekiant užtikrinti, kad visų sričių politika būtų palanki moterims, todėl turėtų būti atliekami griežti tokios politikos poveikio lytims vertinimai, be kita ko, krizių metu;</w:t>
      </w:r>
    </w:p>
    <w:p w14:paraId="0000001F" w14:textId="77777777" w:rsidR="00D50B28" w:rsidRPr="00E91B41" w:rsidRDefault="00D50B28" w:rsidP="00126E5F">
      <w:pPr>
        <w:rPr>
          <w:lang w:val="en-GB"/>
        </w:rPr>
      </w:pPr>
    </w:p>
    <w:p w14:paraId="00000020" w14:textId="554904D4" w:rsidR="00D50B28" w:rsidRPr="00E91B41" w:rsidRDefault="00FF04B6" w:rsidP="00126E5F">
      <w:r>
        <w:t>atsižvelgdama į tai, kas išdėstyta pirmiau, ______________________ (miesto/regiono pavadinimas) savivaldybės/miesto/regiono taryba (nereikalingą įrašą išbraukti) įsipareigoja:</w:t>
      </w:r>
    </w:p>
    <w:p w14:paraId="00000021" w14:textId="77777777" w:rsidR="00D50B28" w:rsidRPr="00E91B41" w:rsidRDefault="00D50B28" w:rsidP="00126E5F"/>
    <w:p w14:paraId="00000022" w14:textId="67557E81" w:rsidR="00D50B28" w:rsidRPr="00E91B41" w:rsidRDefault="00FF04B6" w:rsidP="00126E5F">
      <w:pPr>
        <w:numPr>
          <w:ilvl w:val="0"/>
          <w:numId w:val="6"/>
        </w:numPr>
        <w:ind w:left="1134" w:hanging="567"/>
      </w:pPr>
      <w:r>
        <w:t>paskelbti ___ (miesto/regiono pavadinimas) „Saugia vieta moterims“ ir vykdyti viešąją politiką, kuria užtikrinamas moterų saugumas ir aiškiai baudžiama už visų formų smurtą dėl lyties, užtikrinant visapusišką ir teisingą moterų dalyvavimą visame procese;</w:t>
      </w:r>
    </w:p>
    <w:p w14:paraId="00000023" w14:textId="55E30BEE" w:rsidR="00D50B28" w:rsidRPr="00E91B41" w:rsidRDefault="00FF04B6" w:rsidP="00126E5F">
      <w:pPr>
        <w:numPr>
          <w:ilvl w:val="0"/>
          <w:numId w:val="6"/>
        </w:numPr>
        <w:ind w:left="1134" w:hanging="567"/>
      </w:pPr>
      <w:r>
        <w:t>užtikrinti tiesioginę ir nenutrūkstamą prieigą prie specializuotų, saugių ir visapusiškų paramos paslaugų smurto dėl lyties, įskaitant smurtą šeimoje ir seksualinį smurtą, aukoms;</w:t>
      </w:r>
    </w:p>
    <w:p w14:paraId="09712771" w14:textId="733FCC4E" w:rsidR="00840DBA" w:rsidRPr="00E91B41" w:rsidRDefault="00FF04B6" w:rsidP="00126E5F">
      <w:pPr>
        <w:numPr>
          <w:ilvl w:val="0"/>
          <w:numId w:val="6"/>
        </w:numPr>
        <w:ind w:left="1134" w:hanging="567"/>
      </w:pPr>
      <w:r>
        <w:t>užtikrinti greitą tarnybų, atsakingų už nediskriminacinį smurto dėl lyties atvejų registravimą ir tyrimą, reakciją ir numatyti veiksmingos ir neatidėliotinos aukų ir jų vaikų apsaugos priemones;</w:t>
      </w:r>
    </w:p>
    <w:p w14:paraId="69D11FE1" w14:textId="718DC1F9" w:rsidR="00840DBA" w:rsidRPr="00E91B41" w:rsidRDefault="00840DBA" w:rsidP="00126E5F">
      <w:pPr>
        <w:numPr>
          <w:ilvl w:val="0"/>
          <w:numId w:val="6"/>
        </w:numPr>
        <w:ind w:left="1134" w:hanging="567"/>
      </w:pPr>
      <w:r>
        <w:t xml:space="preserve">rengti atsižvelgimo į lyties aspektą mokymus policijos, valdžios institucijų ir specializuotų smurto dėl lyties aukomis tapusių moterų priėmimo centrų, įskaitant prieglaudas, darbuotojams, šiuos mokymus visų pirma skiriant pirmiesiems </w:t>
      </w:r>
      <w:proofErr w:type="spellStart"/>
      <w:r>
        <w:t>reaguotojams</w:t>
      </w:r>
      <w:proofErr w:type="spellEnd"/>
      <w:r>
        <w:t>;</w:t>
      </w:r>
    </w:p>
    <w:p w14:paraId="1370AFB7" w14:textId="77777777" w:rsidR="003B351E" w:rsidRPr="00E91B41" w:rsidRDefault="00FF04B6" w:rsidP="00126E5F">
      <w:pPr>
        <w:numPr>
          <w:ilvl w:val="0"/>
          <w:numId w:val="6"/>
        </w:numPr>
        <w:ind w:left="1134" w:hanging="567"/>
      </w:pPr>
      <w:r>
        <w:lastRenderedPageBreak/>
        <w:t>rinkti administracinius duomenis apie artimo partnerio smurtą ir su lytimi susijusius moterų ir mergaičių nužudymus (</w:t>
      </w:r>
      <w:proofErr w:type="spellStart"/>
      <w:r>
        <w:t>moteržudystes</w:t>
      </w:r>
      <w:proofErr w:type="spellEnd"/>
      <w:r>
        <w:t>), siekiant prisidėti prie šio reiškinio prevencijos ir kovos su juo;</w:t>
      </w:r>
    </w:p>
    <w:p w14:paraId="752338A8" w14:textId="77777777" w:rsidR="003B351E" w:rsidRPr="00E91B41" w:rsidRDefault="00FF04B6" w:rsidP="00126E5F">
      <w:pPr>
        <w:numPr>
          <w:ilvl w:val="0"/>
          <w:numId w:val="6"/>
        </w:numPr>
        <w:ind w:left="1134" w:hanging="567"/>
      </w:pPr>
      <w:r>
        <w:t xml:space="preserve">taikyti visiško netoleravimo politiką </w:t>
      </w:r>
      <w:proofErr w:type="spellStart"/>
      <w:r>
        <w:t>seksistinei</w:t>
      </w:r>
      <w:proofErr w:type="spellEnd"/>
      <w:r>
        <w:t xml:space="preserve"> reklamai, be kita ko, viešosiose erdvėse ir viešajame transporte, nes taip formuojami žalingi lyčių stereotipai; </w:t>
      </w:r>
    </w:p>
    <w:p w14:paraId="315213B2" w14:textId="68241AAD" w:rsidR="003B351E" w:rsidRPr="00E91B41" w:rsidRDefault="00FF04B6" w:rsidP="00126E5F">
      <w:pPr>
        <w:numPr>
          <w:ilvl w:val="0"/>
          <w:numId w:val="6"/>
        </w:numPr>
        <w:ind w:left="1134" w:hanging="567"/>
      </w:pPr>
      <w:r>
        <w:t>sistemingai atsižvelgti į moterų saugumą ir poreikius priimant sprendimus dėl biudžeto priemonių, susijusių su viešosiomis paslaugomis, pvz., viešuoju apšvietimu, viešuoju transportu arba socialinių tarnybų, dirbančių su smurto dėl lyties aukomis, ištekliais;</w:t>
      </w:r>
    </w:p>
    <w:p w14:paraId="3CCD35B5" w14:textId="64E5E95A" w:rsidR="00D7578C" w:rsidRPr="00E91B41" w:rsidRDefault="00D7578C" w:rsidP="00126E5F">
      <w:pPr>
        <w:numPr>
          <w:ilvl w:val="0"/>
          <w:numId w:val="6"/>
        </w:numPr>
        <w:ind w:left="1134" w:hanging="567"/>
      </w:pPr>
      <w:bookmarkStart w:id="0" w:name="_Hlk126162679"/>
      <w:r>
        <w:t>mokyklose ir universitetuose organizuoti švietimo programas, mokymus ir (arba) pristatymus, kurie papildytų švietimo apie santykius ir lytiškumą programas, ir nuo ankstyvo amžiaus didinti informuotumą apie priekabiavimo dėl lyties ir smurto žalą;</w:t>
      </w:r>
      <w:bookmarkEnd w:id="0"/>
    </w:p>
    <w:p w14:paraId="567CF1E6" w14:textId="77777777" w:rsidR="00D7578C" w:rsidRPr="00E91B41" w:rsidRDefault="00FF04B6" w:rsidP="00126E5F">
      <w:pPr>
        <w:numPr>
          <w:ilvl w:val="0"/>
          <w:numId w:val="6"/>
        </w:numPr>
        <w:ind w:left="1134" w:hanging="567"/>
      </w:pPr>
      <w:r>
        <w:t>išlikti budriems ir nedelsiant taikyti sankcijas už prekybą žmonėmis ir moteris bei mergaites žalojančią praktiką (moterų lyties organų žalojimą, ankstyvas ir priverstines santuokas, priverstinę sterilizaciją);</w:t>
      </w:r>
    </w:p>
    <w:p w14:paraId="0BBC2CCE" w14:textId="77777777" w:rsidR="00D7578C" w:rsidRPr="00E91B41" w:rsidRDefault="00FF04B6" w:rsidP="00126E5F">
      <w:pPr>
        <w:numPr>
          <w:ilvl w:val="0"/>
          <w:numId w:val="6"/>
        </w:numPr>
        <w:ind w:left="1134" w:hanging="567"/>
      </w:pPr>
      <w:r>
        <w:t>išlikti budriems ir visiškai netoleruoti jokių kibernetinio smurto dėl lyties atvejų;</w:t>
      </w:r>
    </w:p>
    <w:p w14:paraId="6A04C8ED" w14:textId="77777777" w:rsidR="00D7578C" w:rsidRPr="00E91B41" w:rsidRDefault="00155B5B" w:rsidP="00126E5F">
      <w:pPr>
        <w:numPr>
          <w:ilvl w:val="0"/>
          <w:numId w:val="6"/>
        </w:numPr>
        <w:ind w:left="1134" w:hanging="567"/>
      </w:pPr>
      <w:r>
        <w:t xml:space="preserve">didinti visuomenės informuotumą apie smurtą dėl lyties vykdant komunikacijos kampanijas, kuriomis taip pat siekiama informuoti aukas apie tai, kur ir kaip galima pasinaudoti paramos paslaugomis; šios veiklos kulminacija būtų Tarptautinė smurto prieš moteris panaikinimo diena (lapkričio 25 d.); </w:t>
      </w:r>
    </w:p>
    <w:p w14:paraId="0000002D" w14:textId="1BA154B6" w:rsidR="00D50B28" w:rsidRPr="00CF1E0A" w:rsidRDefault="00FF04B6" w:rsidP="00126E5F">
      <w:pPr>
        <w:numPr>
          <w:ilvl w:val="0"/>
          <w:numId w:val="6"/>
        </w:numPr>
        <w:ind w:left="1134" w:hanging="567"/>
      </w:pPr>
      <w:r>
        <w:t xml:space="preserve">rodyti pavyzdį organizuojant ir vykdant XXX vietos / regiono valdžios institucijos veiklą.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pPr>
      <w:r>
        <w:t>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C633A"/>
    <w:rsid w:val="000D09BE"/>
    <w:rsid w:val="000D14A2"/>
    <w:rsid w:val="000E2371"/>
    <w:rsid w:val="000F7591"/>
    <w:rsid w:val="0010194E"/>
    <w:rsid w:val="00126E5F"/>
    <w:rsid w:val="00137B8F"/>
    <w:rsid w:val="00155B5B"/>
    <w:rsid w:val="001A5707"/>
    <w:rsid w:val="001F01E6"/>
    <w:rsid w:val="00236DF8"/>
    <w:rsid w:val="00260BFF"/>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4645C"/>
    <w:rsid w:val="00454354"/>
    <w:rsid w:val="00456376"/>
    <w:rsid w:val="00473D1F"/>
    <w:rsid w:val="00494A60"/>
    <w:rsid w:val="004B4A5C"/>
    <w:rsid w:val="004D6AFD"/>
    <w:rsid w:val="004F07E0"/>
    <w:rsid w:val="00527C39"/>
    <w:rsid w:val="005365B6"/>
    <w:rsid w:val="00537037"/>
    <w:rsid w:val="00570266"/>
    <w:rsid w:val="00596DF4"/>
    <w:rsid w:val="005F7C88"/>
    <w:rsid w:val="006110AD"/>
    <w:rsid w:val="00656BC1"/>
    <w:rsid w:val="0066557B"/>
    <w:rsid w:val="006A48E1"/>
    <w:rsid w:val="006D6E47"/>
    <w:rsid w:val="006E0600"/>
    <w:rsid w:val="00705B05"/>
    <w:rsid w:val="007750C5"/>
    <w:rsid w:val="0078512B"/>
    <w:rsid w:val="007C0121"/>
    <w:rsid w:val="00840DBA"/>
    <w:rsid w:val="0088414D"/>
    <w:rsid w:val="00885358"/>
    <w:rsid w:val="00891928"/>
    <w:rsid w:val="008E2D53"/>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56348"/>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lt-LT" w:eastAsia="en-US"/>
    </w:rPr>
  </w:style>
  <w:style w:type="character" w:customStyle="1" w:styleId="Heading2Char">
    <w:name w:val="Heading 2 Char"/>
    <w:basedOn w:val="DefaultParagraphFont"/>
    <w:link w:val="Heading2"/>
    <w:rsid w:val="000E2371"/>
    <w:rPr>
      <w:lang w:val="lt-LT" w:eastAsia="en-US"/>
    </w:rPr>
  </w:style>
  <w:style w:type="character" w:customStyle="1" w:styleId="Heading3Char">
    <w:name w:val="Heading 3 Char"/>
    <w:basedOn w:val="DefaultParagraphFont"/>
    <w:link w:val="Heading3"/>
    <w:rsid w:val="000E2371"/>
    <w:rPr>
      <w:lang w:val="lt-LT" w:eastAsia="en-US"/>
    </w:rPr>
  </w:style>
  <w:style w:type="character" w:customStyle="1" w:styleId="Heading4Char">
    <w:name w:val="Heading 4 Char"/>
    <w:basedOn w:val="DefaultParagraphFont"/>
    <w:link w:val="Heading4"/>
    <w:rsid w:val="000E2371"/>
    <w:rPr>
      <w:lang w:val="lt-LT" w:eastAsia="en-US"/>
    </w:rPr>
  </w:style>
  <w:style w:type="character" w:customStyle="1" w:styleId="Heading5Char">
    <w:name w:val="Heading 5 Char"/>
    <w:basedOn w:val="DefaultParagraphFont"/>
    <w:link w:val="Heading5"/>
    <w:rsid w:val="000E2371"/>
    <w:rPr>
      <w:lang w:val="lt-LT" w:eastAsia="en-US"/>
    </w:rPr>
  </w:style>
  <w:style w:type="character" w:customStyle="1" w:styleId="Heading6Char">
    <w:name w:val="Heading 6 Char"/>
    <w:basedOn w:val="DefaultParagraphFont"/>
    <w:link w:val="Heading6"/>
    <w:rsid w:val="000E2371"/>
    <w:rPr>
      <w:lang w:val="lt-LT" w:eastAsia="en-US"/>
    </w:rPr>
  </w:style>
  <w:style w:type="character" w:customStyle="1" w:styleId="Heading7Char">
    <w:name w:val="Heading 7 Char"/>
    <w:basedOn w:val="DefaultParagraphFont"/>
    <w:link w:val="Heading7"/>
    <w:rsid w:val="000E2371"/>
    <w:rPr>
      <w:lang w:val="lt-LT" w:eastAsia="en-US"/>
    </w:rPr>
  </w:style>
  <w:style w:type="character" w:customStyle="1" w:styleId="Heading8Char">
    <w:name w:val="Heading 8 Char"/>
    <w:basedOn w:val="DefaultParagraphFont"/>
    <w:link w:val="Heading8"/>
    <w:rsid w:val="000E2371"/>
    <w:rPr>
      <w:lang w:val="lt-LT" w:eastAsia="en-US"/>
    </w:rPr>
  </w:style>
  <w:style w:type="character" w:customStyle="1" w:styleId="Heading9Char">
    <w:name w:val="Heading 9 Char"/>
    <w:basedOn w:val="DefaultParagraphFont"/>
    <w:link w:val="Heading9"/>
    <w:rsid w:val="000E2371"/>
    <w:rPr>
      <w:lang w:val="lt-LT"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lt-LT"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lt-LT"/>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lt-LT"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lt-L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PWMHTDDKQ3QZ-1287546590-1461</_dlc_DocId>
    <_dlc_DocIdUrl xmlns="eff9f743-c5e6-45b1-888b-0c3422c38b02">
      <Url>http://dm2016/cor/2023/_layouts/15/DocIdRedir.aspx?ID=PWMHTDDKQ3QZ-1287546590-1461</Url>
      <Description>PWMHTDDKQ3QZ-1287546590-1461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Zebrauskas Linas</DisplayName>
        <AccountId>1634</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338E656D-5790-4CD4-9982-5D4B5CB92CBF}">
  <ds:schemaRefs>
    <ds:schemaRef ds:uri="http://schemas.microsoft.com/sharepoint/v3/contenttype/forms"/>
  </ds:schemaRefs>
</ds:datastoreItem>
</file>

<file path=customXml/itemProps2.xml><?xml version="1.0" encoding="utf-8"?>
<ds:datastoreItem xmlns:ds="http://schemas.openxmlformats.org/officeDocument/2006/customXml" ds:itemID="{D235AE5E-D906-47A8-B22E-4C765A1AC6BE}">
  <ds:schemaRefs>
    <ds:schemaRef ds:uri="http://schemas.microsoft.com/sharepoint/events"/>
  </ds:schemaRefs>
</ds:datastoreItem>
</file>

<file path=customXml/itemProps3.xml><?xml version="1.0" encoding="utf-8"?>
<ds:datastoreItem xmlns:ds="http://schemas.openxmlformats.org/officeDocument/2006/customXml" ds:itemID="{A39F34C8-7C49-4159-BA18-1C4DC9C6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04467-2075-4E58-B997-B7EE4577E2E5}">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Atnaujinta rezoliucija Saugi vieta moterims _LT</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6</cp:revision>
  <dcterms:created xsi:type="dcterms:W3CDTF">2023-02-06T15:25:00Z</dcterms:created>
  <dcterms:modified xsi:type="dcterms:W3CDTF">2023-02-18T15:49:00Z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afe0fa2f-ff9f-43d1-ae67-5ae579cddaf2</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ET|ff6c3f4c-b02c-4c3c-ab07-2c37995a7a0a;HR|2f555653-ed1a-4fe6-8362-9082d95989e5;IT|0774613c-01ed-4e5d-a25d-11d2388de825;FI|87606a43-d45f-42d6-b8c9-e1a3457db5b7;BG|1a1b3951-7821-4e6a-85f5-5673fc08bd2c;HU|6b229040-c589-4408-b4c1-4285663d20a8;LV|46f7e311-5d9f-4663-b433-18aeccb7ace7;FR|d2afafd3-4c81-4f60-8f52-ee33f2f54ff3;EN|f2175f21-25d7-44a3-96da-d6a61b075e1b;SL|98a412ae-eb01-49e9-ae3d-585a81724cfc;NL|55c6556c-b4f4-441d-9acf-c498d4f838bd;SV|c2ed69e7-a339-43d7-8f22-d93680a92aa0;CS|72f9705b-0217-4fd3-bea2-cbc7ed80e26e;DE|f6b31e5a-26fa-4935-b661-318e46daf27e;EL|6d4f4d51-af9b-4650-94b4-4276bee85c91;MT|7df99101-6854-4a26-b53a-b88c0da02c26;ES|e7a6b05b-ae16-40c8-add9-68b64b03aeba;DA|5d49c027-8956-412b-aa16-e85a0f96ad0e;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33;#SL|98a412ae-eb01-49e9-ae3d-585a81724cfc;#32;#FI|87606a43-d45f-42d6-b8c9-e1a3457db5b7;#31;#HR|2f555653-ed1a-4fe6-8362-9082d95989e5;#28;#BG|1a1b3951-7821-4e6a-85f5-5673fc08bd2c;#27;#ET|ff6c3f4c-b02c-4c3c-ab07-2c37995a7a0a;#26;#LV|46f7e311-5d9f-4663-b433-18aeccb7ace7;#25;#ES|e7a6b05b-ae16-40c8-add9-68b64b03aeba;#24;#FR|d2afafd3-4c81-4f60-8f52-ee33f2f54ff3;#22;#HU|6b229040-c589-4408-b4c1-4285663d20a8;#21;#CS|72f9705b-0217-4fd3-bea2-cbc7ed80e26e;#20;#NL|55c6556c-b4f4-441d-9acf-c498d4f838bd;#19;#SK|46d9fce0-ef79-4f71-b89b-cd6aa82426b8;#18;#PL|1e03da61-4678-4e07-b136-b5024ca9197b;#17;#DE|f6b31e5a-26fa-4935-b661-318e46daf27e;#16;#IT|0774613c-01ed-4e5d-a25d-11d2388de825;#15;#DA|5d49c027-8956-412b-aa16-e85a0f96ad0e;#14;#RO|feb747a2-64cd-4299-af12-4833ddc30497;#13;#MT|7df99101-6854-4a26-b53a-b88c0da02c26;#10;#SV|c2ed69e7-a339-43d7-8f22-d93680a92aa0;#7;#Final|ea5e6674-7b27-4bac-b091-73adbb394efe;#35;#EL|6d4f4d51-af9b-4650-94b4-4276bee85c91;#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36;#LT|a7ff5ce7-6123-4f68-865a-a57c31810414</vt:lpwstr>
  </property>
</Properties>
</file>