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rPr>
      </w:pPr>
      <w:r>
        <w:rPr>
          <w:i/>
        </w:rPr>
        <w:t xml:space="preserve">Turpmāk iekļauto rezolūcijas parauga tekstu ieinteresētās pašvaldības, pilsētas un reģioni var pielāgot attiecīgo vietējo vai reģionālo apstākļu specifikai. </w:t>
      </w:r>
    </w:p>
    <w:p w14:paraId="00000002" w14:textId="17D883CD" w:rsidR="00D50B28" w:rsidRPr="00E91B41" w:rsidRDefault="00D50B28" w:rsidP="00126E5F">
      <w:pPr>
        <w:rPr>
          <w:b/>
          <w:i/>
        </w:rPr>
      </w:pPr>
    </w:p>
    <w:p w14:paraId="00000003" w14:textId="79A883B8" w:rsidR="00D50B28" w:rsidRPr="00E91B41" w:rsidRDefault="00FF04B6" w:rsidP="00126E5F">
      <w:pPr>
        <w:rPr>
          <w:b/>
        </w:rPr>
      </w:pPr>
      <w:r>
        <w:rPr>
          <w:b/>
        </w:rPr>
        <w:t>Paraugs pašvaldības/pilsētas/novada domes Rezolūcijai par ______________________ (pašvaldības/pilsētas/novada nosaukums) PASLUDINĀŠANU par vietu, kur sievietes ir drošībā</w:t>
      </w:r>
    </w:p>
    <w:p w14:paraId="00000004" w14:textId="77777777" w:rsidR="00D50B28" w:rsidRPr="00E91B41" w:rsidRDefault="00D50B28" w:rsidP="00126E5F">
      <w:pPr>
        <w:rPr>
          <w:lang w:val="en-GB"/>
        </w:rPr>
      </w:pPr>
    </w:p>
    <w:p w14:paraId="00000005" w14:textId="6D2669EA" w:rsidR="00D50B28" w:rsidRPr="00E91B41" w:rsidRDefault="00FF04B6" w:rsidP="00126E5F">
      <w:r>
        <w:t>______________________ (pašvaldības/pilsētas/novada nosaukums) pašvaldības/pilsētas/novada dome (lieko svītrot),</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ņemot vērā Vispārējo cilvēktiesību deklarāciju,</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ņemot vērā Līguma par Eiropas Savienību (LES) 2. un 3. pantu,</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ņemot vērā Eiropas Savienības Pamattiesību hartu,</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ņemot vērā Eiropas Cilvēktiesību un pamatbrīvību aizsardzības konvenciju un attiecīgo Eiropas Cilvēktiesību tiesas judikatūru,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ņemot vērā Eiropas Padomes Konvenciju par vardarbības pret sievietēm un vardarbības ģimenē novēršanu un apkarošanu (Stambulas konvencija),</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ņemot vērā Komisijas 2022. gada 8. marta priekšlikumu direktīvai par vardarbības pret sievietēm un vardarbības ģimenē apkarošanu,</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ņemot vērā Komisijas 2020. gada 5. marta paziņojumu “Savienība, kurā valda līdztiesība: dzimumu līdztiesības stratēģija 2020.–2025. gadam”,</w:t>
      </w:r>
    </w:p>
    <w:p w14:paraId="0000000E" w14:textId="77777777" w:rsidR="00D50B28" w:rsidRPr="00E91B41" w:rsidRDefault="00FF04B6" w:rsidP="00E91B41">
      <w:pPr>
        <w:pStyle w:val="ListParagraph"/>
        <w:numPr>
          <w:ilvl w:val="0"/>
          <w:numId w:val="11"/>
        </w:numPr>
        <w:tabs>
          <w:tab w:val="clear" w:pos="0"/>
        </w:tabs>
        <w:ind w:left="850"/>
      </w:pPr>
      <w:r>
        <w:t xml:space="preserve">ņemot vērā Eiropas Parlamenta 2021. gada 16. septembra rezolūciju ar ieteikumiem Komisijai par to, lai </w:t>
      </w:r>
      <w:proofErr w:type="spellStart"/>
      <w:r>
        <w:t>dzimumbalstīta</w:t>
      </w:r>
      <w:proofErr w:type="spellEnd"/>
      <w:r>
        <w:t xml:space="preserve"> vardarbība tiktu iekļauta kā jauna noziegumu joma LESD 83. panta 1. punktā uzskaitītajā noziegumu jomu sarakstā,</w:t>
      </w:r>
    </w:p>
    <w:p w14:paraId="0000000F" w14:textId="6FB53ADD" w:rsidR="00D50B28" w:rsidRPr="00CF1E0A" w:rsidRDefault="00FF04B6" w:rsidP="00E91B41">
      <w:pPr>
        <w:pStyle w:val="ListParagraph"/>
        <w:numPr>
          <w:ilvl w:val="0"/>
          <w:numId w:val="11"/>
        </w:numPr>
        <w:tabs>
          <w:tab w:val="clear" w:pos="0"/>
        </w:tabs>
        <w:ind w:left="850"/>
      </w:pPr>
      <w:r>
        <w:t>ņemot vērā Eiropas Parlamenta 2020. gada 12. februāra rezolūciju par ES stratēģiju sieviešu dzimumorgānu kropļošanas pārtraukšanai pasaulē,</w:t>
      </w:r>
    </w:p>
    <w:p w14:paraId="00000010" w14:textId="77777777" w:rsidR="00D50B28" w:rsidRPr="00E91B41" w:rsidRDefault="00FF04B6" w:rsidP="00E91B41">
      <w:pPr>
        <w:pStyle w:val="ListParagraph"/>
        <w:numPr>
          <w:ilvl w:val="0"/>
          <w:numId w:val="11"/>
        </w:numPr>
        <w:tabs>
          <w:tab w:val="clear" w:pos="0"/>
        </w:tabs>
        <w:ind w:left="850"/>
      </w:pPr>
      <w:r>
        <w:t>ņemot vērā ANO Konvenciju par jebkuras sieviešu diskriminācijas izskaušanu (</w:t>
      </w:r>
      <w:r>
        <w:rPr>
          <w:i/>
        </w:rPr>
        <w:t>CEDAW</w:t>
      </w:r>
      <w:r>
        <w:t>),</w:t>
      </w:r>
    </w:p>
    <w:p w14:paraId="00000011" w14:textId="4158C624" w:rsidR="00D50B28" w:rsidRPr="00E91B41" w:rsidRDefault="00FF04B6" w:rsidP="00E91B41">
      <w:pPr>
        <w:pStyle w:val="ListParagraph"/>
        <w:numPr>
          <w:ilvl w:val="0"/>
          <w:numId w:val="11"/>
        </w:numPr>
        <w:tabs>
          <w:tab w:val="clear" w:pos="0"/>
        </w:tabs>
        <w:ind w:left="850"/>
      </w:pPr>
      <w:r>
        <w:t>ņemot vērā Starptautiskās Darba organizācijas Konvenciju Nr. 190 par vardarbības un aizskarošas izturēšanās izskaušanu darba vietā,</w:t>
      </w:r>
    </w:p>
    <w:p w14:paraId="00000012" w14:textId="42155ADE" w:rsidR="00D50B28" w:rsidRPr="00CF1E0A" w:rsidRDefault="00FF04B6" w:rsidP="00E91B41">
      <w:pPr>
        <w:pStyle w:val="ListParagraph"/>
        <w:numPr>
          <w:ilvl w:val="0"/>
          <w:numId w:val="11"/>
        </w:numPr>
        <w:tabs>
          <w:tab w:val="clear" w:pos="0"/>
        </w:tabs>
        <w:ind w:left="850"/>
      </w:pPr>
      <w:r>
        <w:t>ņemot vērā ANO 5. ilgtspējīgas attīstības mērķi ”Dzimumu līdztiesība”,</w:t>
      </w:r>
    </w:p>
    <w:p w14:paraId="00000013" w14:textId="2F63E25F" w:rsidR="00D50B28" w:rsidRPr="00E91B41" w:rsidRDefault="00FF04B6" w:rsidP="00E91B41">
      <w:pPr>
        <w:pStyle w:val="ListParagraph"/>
        <w:numPr>
          <w:ilvl w:val="0"/>
          <w:numId w:val="11"/>
        </w:numPr>
        <w:tabs>
          <w:tab w:val="clear" w:pos="0"/>
        </w:tabs>
        <w:ind w:left="850"/>
      </w:pPr>
      <w:r>
        <w:t xml:space="preserve">ņemot vērā Eiropas Parlamenta 2021. gada 14. decembra rezolūciju ar ieteikumiem Komisijai, kā novērst un apkarot ar dzimumu saistītu </w:t>
      </w:r>
      <w:proofErr w:type="spellStart"/>
      <w:r>
        <w:t>kibervardarbību</w:t>
      </w:r>
      <w:proofErr w:type="spellEnd"/>
      <w:r>
        <w:t>,</w:t>
      </w:r>
    </w:p>
    <w:p w14:paraId="19B3B425" w14:textId="213F096D" w:rsidR="0088414D" w:rsidRPr="00E91B41" w:rsidRDefault="0088414D" w:rsidP="00E91B41">
      <w:pPr>
        <w:pStyle w:val="ListParagraph"/>
        <w:numPr>
          <w:ilvl w:val="0"/>
          <w:numId w:val="11"/>
        </w:numPr>
        <w:tabs>
          <w:tab w:val="clear" w:pos="0"/>
        </w:tabs>
        <w:ind w:left="850"/>
      </w:pPr>
      <w:r>
        <w:t xml:space="preserve">ņemot vērā </w:t>
      </w:r>
      <w:proofErr w:type="spellStart"/>
      <w:r>
        <w:t>Valensijas</w:t>
      </w:r>
      <w:proofErr w:type="spellEnd"/>
      <w:r>
        <w:t xml:space="preserve"> apgabala padomes Rezolūciju par reģiona pasludināšanu par vietu, kur sievietes ir drošībā,</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tā kā sieviešu un vīriešu līdztiesība ir viena no Savienības pamatvērtībām un pamattiesības, kas nostiprinātas Līgumos un Eiropas Savienības Pamattiesību hartā; </w:t>
      </w:r>
    </w:p>
    <w:p w14:paraId="00000016" w14:textId="77777777" w:rsidR="00D50B28" w:rsidRPr="00E91B41" w:rsidRDefault="00FF04B6" w:rsidP="00126E5F">
      <w:pPr>
        <w:pStyle w:val="ListParagraph"/>
        <w:numPr>
          <w:ilvl w:val="0"/>
          <w:numId w:val="5"/>
        </w:numPr>
        <w:shd w:val="clear" w:color="auto" w:fill="FFFFFF"/>
        <w:ind w:left="1134" w:hanging="567"/>
      </w:pPr>
      <w:r>
        <w:t>tā kā ar dzimumu saistītas vardarbības apkarošana Eiropas Savienībā ir kopīga atbildība un tāpēc ir vajadzīgi kopīgi centieni un pasākumi visos pārvaldības līmeņos, it īpaši vietējo un reģionālo pašvaldību līmenī, kurām kā iedzīvotājiem vistuvākajam pārvaldības līmenim šajā jomā ir izšķiroši liela nozīme;</w:t>
      </w:r>
    </w:p>
    <w:p w14:paraId="547091C0" w14:textId="77777777" w:rsidR="009B4BD2" w:rsidRPr="00E91B41" w:rsidRDefault="00FF04B6" w:rsidP="00126E5F">
      <w:pPr>
        <w:pStyle w:val="ListParagraph"/>
        <w:numPr>
          <w:ilvl w:val="0"/>
          <w:numId w:val="5"/>
        </w:numPr>
        <w:shd w:val="clear" w:color="auto" w:fill="FFFFFF"/>
        <w:ind w:left="1134" w:hanging="567"/>
      </w:pPr>
      <w:r>
        <w:t>tā kā ar dzimumu saistītas vardarbības, tostarp vīriešu vardarbības pret sievietēm un meitenēm, izskaušana ir priekšnoteikums īstenas dzimumu līdztiesības panākšanai;</w:t>
      </w:r>
    </w:p>
    <w:p w14:paraId="67C856DB" w14:textId="5158BDA7" w:rsidR="00FF4EE4" w:rsidRPr="00E91B41" w:rsidRDefault="00FF04B6" w:rsidP="00126E5F">
      <w:pPr>
        <w:pStyle w:val="ListParagraph"/>
        <w:numPr>
          <w:ilvl w:val="0"/>
          <w:numId w:val="5"/>
        </w:numPr>
        <w:shd w:val="clear" w:color="auto" w:fill="FFFFFF"/>
        <w:ind w:left="1134" w:hanging="567"/>
      </w:pPr>
      <w:r>
        <w:t xml:space="preserve">tā kā 31 % sieviešu Eiropā ir piedzīvojušas fizisku vardarbību, 5 % sieviešu ES valstīs ir </w:t>
      </w:r>
      <w:proofErr w:type="spellStart"/>
      <w:r>
        <w:t>izvarotas</w:t>
      </w:r>
      <w:proofErr w:type="spellEnd"/>
      <w:r>
        <w:t xml:space="preserve">, ar dzimumu saistītas vardarbības dēļ aptuveni 50 sievietes ik nedēļu zaudē </w:t>
      </w:r>
      <w:r>
        <w:lastRenderedPageBreak/>
        <w:t>dzīvību un 43 % sieviešu ir saskārušās ar psiholoģisku vardarbību no intīmā partnera puses, turklāt tiek lēsts, ka joprojām ļoti liels ir nereģistrēto vardarbības gadījumu skaits;</w:t>
      </w:r>
    </w:p>
    <w:p w14:paraId="00000019" w14:textId="749DBCAA" w:rsidR="00D50B28" w:rsidRPr="00E91B41" w:rsidRDefault="009C55EF" w:rsidP="00126E5F">
      <w:pPr>
        <w:pStyle w:val="ListParagraph"/>
        <w:numPr>
          <w:ilvl w:val="0"/>
          <w:numId w:val="5"/>
        </w:numPr>
        <w:shd w:val="clear" w:color="auto" w:fill="FFFFFF"/>
        <w:ind w:left="1134" w:hanging="567"/>
      </w:pPr>
      <w:r>
        <w:t xml:space="preserve">tā kā ar dzimumu saistīta vardarbība gan tiešsaistē, gan </w:t>
      </w:r>
      <w:proofErr w:type="spellStart"/>
      <w:r>
        <w:t>bezsaistē</w:t>
      </w:r>
      <w:proofErr w:type="spellEnd"/>
      <w:r>
        <w:t xml:space="preserve"> un nepietiekama piekļuve pienācīgai aizsardzībai apdraud vairākas pamattiesības, tostarp tiesības uz dzīvību, tiesības uz cilvēka cieņu, tiesības uz fizisko un garīgo neaizskaramību, spīdzināšanas un necilvēcīgas vai pazemojošas izturēšanās vai sodīšanas aizliegumu, verdzības un piespiedu darba aizliegumu, tiesības uz brīvību un drošību un tiesības uz privātās un ģimenes dzīves neaizskaramību;</w:t>
      </w:r>
    </w:p>
    <w:p w14:paraId="0000001A" w14:textId="67D82D6F" w:rsidR="00D50B28" w:rsidRPr="00E91B41" w:rsidRDefault="00FF04B6" w:rsidP="00126E5F">
      <w:pPr>
        <w:pStyle w:val="ListParagraph"/>
        <w:numPr>
          <w:ilvl w:val="0"/>
          <w:numId w:val="5"/>
        </w:numPr>
        <w:shd w:val="clear" w:color="auto" w:fill="FFFFFF"/>
        <w:ind w:left="1134" w:hanging="567"/>
      </w:pPr>
      <w:r>
        <w:t>tā kā sieviešu un meiteņu slepkavībai, kas saistīta ar dzimumu (</w:t>
      </w:r>
      <w:proofErr w:type="spellStart"/>
      <w:r>
        <w:t>feminicīds</w:t>
      </w:r>
      <w:proofErr w:type="spellEnd"/>
      <w:r>
        <w:t xml:space="preserve">), vajadzētu būt atsevišķai noziegumu kategorijai, jo </w:t>
      </w:r>
      <w:proofErr w:type="spellStart"/>
      <w:r>
        <w:t>dzimumneitrālajā</w:t>
      </w:r>
      <w:proofErr w:type="spellEnd"/>
      <w:r>
        <w:t xml:space="preserve"> terminā “slepkavība” nav ņemti vērā nevienlīdzības, apspiešanas un sistemātiskas vardarbības pret sievietēm aspekti;</w:t>
      </w:r>
    </w:p>
    <w:p w14:paraId="59209E5F" w14:textId="6F453B37" w:rsidR="006A48E1" w:rsidRPr="00E91B41" w:rsidRDefault="006A48E1" w:rsidP="00126E5F">
      <w:pPr>
        <w:pStyle w:val="ListParagraph"/>
        <w:numPr>
          <w:ilvl w:val="0"/>
          <w:numId w:val="5"/>
        </w:numPr>
        <w:shd w:val="clear" w:color="auto" w:fill="FFFFFF"/>
        <w:ind w:left="1134" w:hanging="567"/>
      </w:pPr>
      <w:r>
        <w:t>tā kā ar dzimumu saistīta vardarbība būtu jāatzīst par ES noziegumu jomu saskaņā ar Līgumiem; </w:t>
      </w:r>
    </w:p>
    <w:p w14:paraId="0000001B" w14:textId="0A596767" w:rsidR="00D50B28" w:rsidRPr="00E91B41" w:rsidRDefault="00FF04B6" w:rsidP="00126E5F">
      <w:pPr>
        <w:pStyle w:val="ListParagraph"/>
        <w:numPr>
          <w:ilvl w:val="0"/>
          <w:numId w:val="5"/>
        </w:numPr>
        <w:shd w:val="clear" w:color="auto" w:fill="FFFFFF"/>
        <w:ind w:left="1134" w:hanging="567"/>
      </w:pPr>
      <w:r>
        <w:t>tā kā, noslēdzot agrīnas un piespiedu laulības un veicot sieviešu dzimumorgānu kropļošanu, kas tiek nodota ar tradīciju un kultūras palīdzību, tiek pārkāptas tiesības uz brīvību, cilvēka cieņu un fizisko neaizskaramību;</w:t>
      </w:r>
    </w:p>
    <w:p w14:paraId="26A48D57" w14:textId="22E094DD" w:rsidR="00AE19A0" w:rsidRPr="00E91B41" w:rsidRDefault="00FF04B6" w:rsidP="00126E5F">
      <w:pPr>
        <w:numPr>
          <w:ilvl w:val="0"/>
          <w:numId w:val="5"/>
        </w:numPr>
        <w:ind w:left="1134" w:hanging="567"/>
      </w:pPr>
      <w:r>
        <w:t xml:space="preserve">tā kā izskaust dzimumu stereotipus un izbeigt represīvu </w:t>
      </w:r>
      <w:proofErr w:type="spellStart"/>
      <w:r>
        <w:t>dzimumbalstītu</w:t>
      </w:r>
      <w:proofErr w:type="spellEnd"/>
      <w:r>
        <w:t xml:space="preserve"> praksi, izmantojot progresīvas izglītības programmas – kurās būtiska nozīme ir pirmsskolas, pamatizglītības un vidējās izglītības cikliem –, ir izšķiroši svarīgi meiteņu pilnvērtīgu iespēju nodrošināšanā; </w:t>
      </w:r>
    </w:p>
    <w:p w14:paraId="0000001C" w14:textId="55D130C6" w:rsidR="00D50B28" w:rsidRPr="00E91B41" w:rsidRDefault="00FF04B6" w:rsidP="00126E5F">
      <w:pPr>
        <w:numPr>
          <w:ilvl w:val="0"/>
          <w:numId w:val="5"/>
        </w:numPr>
        <w:ind w:left="1134" w:hanging="567"/>
      </w:pPr>
      <w:r>
        <w:t xml:space="preserve">tā kā šādu progresīvu mācību programmu neatņemama sastāvdaļa ir visaptverošas dzimumizglītības pieejamība, tostarp specializētas izglītības programmas zēniem, un tai ir būtiska loma ar dzimumu saistītas vardarbības, </w:t>
      </w:r>
      <w:proofErr w:type="spellStart"/>
      <w:r>
        <w:t>mizogīnijas</w:t>
      </w:r>
      <w:proofErr w:type="spellEnd"/>
      <w:r>
        <w:t xml:space="preserve"> un dzimumu stereotipu apkarošanā; </w:t>
      </w:r>
    </w:p>
    <w:p w14:paraId="0000001D" w14:textId="020A28D6" w:rsidR="00D50B28" w:rsidRPr="00E91B41" w:rsidRDefault="00FF04B6" w:rsidP="00126E5F">
      <w:pPr>
        <w:numPr>
          <w:ilvl w:val="0"/>
          <w:numId w:val="5"/>
        </w:numPr>
        <w:ind w:left="1134" w:hanging="567"/>
      </w:pPr>
      <w:r>
        <w:t xml:space="preserve">tā kā valsts iestāžu absolūta neiecietība pret sievietes diskriminējošu attēlu vai sieviešu kā objektu parādīšanu reklāmās sabiedriskās vietās ir svarīga, lai izskaustu dzimumu stereotipus, kas veicina ar dzimumu saistītu vardarbību; </w:t>
      </w:r>
    </w:p>
    <w:p w14:paraId="0000001E" w14:textId="14FD27E0" w:rsidR="00D50B28" w:rsidRPr="00E91B41" w:rsidRDefault="009C55EF" w:rsidP="00126E5F">
      <w:pPr>
        <w:numPr>
          <w:ilvl w:val="0"/>
          <w:numId w:val="5"/>
        </w:numPr>
        <w:ind w:left="1134" w:hanging="567"/>
      </w:pPr>
      <w:r>
        <w:t>tā kā integrēta pieeja dzimumu līdztiesības nodrošināšanai un dzimumu līdztiesības principa ievērošana budžeta plānošanā ir būtiska, lai nodrošinātu, ka sievietes tiek ņemtas vērā visās politikas jomās, un tādēļ šādiem politikas pasākumiem arī krīzes laikā būtu jāveic rūpīgs ietekmes uz dzimumu līdztiesību novērtējums;</w:t>
      </w:r>
    </w:p>
    <w:p w14:paraId="0000001F" w14:textId="77777777" w:rsidR="00D50B28" w:rsidRPr="00E91B41" w:rsidRDefault="00D50B28" w:rsidP="00126E5F">
      <w:pPr>
        <w:rPr>
          <w:lang w:val="en-GB"/>
        </w:rPr>
      </w:pPr>
    </w:p>
    <w:p w14:paraId="00000020" w14:textId="554904D4" w:rsidR="00D50B28" w:rsidRPr="00E91B41" w:rsidRDefault="00FF04B6" w:rsidP="00126E5F">
      <w:r>
        <w:t>ņemot vērā iepriekšminēto, ______________________ (pašvaldības/pilsētas/novada nosaukums) pašvaldības/pilsētas/novada dome (lieko svītrot) apņemas:</w:t>
      </w:r>
    </w:p>
    <w:p w14:paraId="00000021" w14:textId="77777777" w:rsidR="00D50B28" w:rsidRPr="00E91B41" w:rsidRDefault="00D50B28" w:rsidP="00126E5F"/>
    <w:p w14:paraId="00000022" w14:textId="67557E81" w:rsidR="00D50B28" w:rsidRPr="00E91B41" w:rsidRDefault="00FF04B6" w:rsidP="00126E5F">
      <w:pPr>
        <w:numPr>
          <w:ilvl w:val="0"/>
          <w:numId w:val="6"/>
        </w:numPr>
        <w:ind w:left="1134" w:hanging="567"/>
      </w:pPr>
      <w:r>
        <w:t>pasludināt ______________________ (pašvaldības/pilsētas/novada nosaukums) par vietu, kur sievietes ir drošībā, un īstenot tādu publiskā sektora politiku, kas, pirmkārt, garantētu sieviešu drošību un, otrkārt, nenovēršami sodītu jebkāda veida vardarbību, kas saistīta ar dzimumu, un nodrošinātu sieviešu pilnvērtīgu un vienlīdzīgu līdzdalību visā procesā;</w:t>
      </w:r>
    </w:p>
    <w:p w14:paraId="00000023" w14:textId="55E30BEE" w:rsidR="00D50B28" w:rsidRPr="00E91B41" w:rsidRDefault="00FF04B6" w:rsidP="00126E5F">
      <w:pPr>
        <w:numPr>
          <w:ilvl w:val="0"/>
          <w:numId w:val="6"/>
        </w:numPr>
        <w:ind w:left="1134" w:hanging="567"/>
      </w:pPr>
      <w:r>
        <w:t>ar dzimumu saistītā vardarbībā, tostarp no vardarbības ģimenē un seksuālās vardarbības, cietušajām personām nodrošināt tiešu un nepārtrauktu piekļuvi specializētiem, drošiem un visaptverošiem atbalsta pakalpojumiem;</w:t>
      </w:r>
    </w:p>
    <w:p w14:paraId="09712771" w14:textId="733FCC4E" w:rsidR="00840DBA" w:rsidRPr="00E91B41" w:rsidRDefault="00FF04B6" w:rsidP="00126E5F">
      <w:pPr>
        <w:numPr>
          <w:ilvl w:val="0"/>
          <w:numId w:val="6"/>
        </w:numPr>
        <w:ind w:left="1134" w:hanging="567"/>
      </w:pPr>
      <w:r>
        <w:t>nodrošināt to dienestu ātru reakciju, kuru kompetencē ir ar dzimumu saistītas vardarbības gadījumu nediskriminējoša reģistrēšana un risināšana, un paredzēt pasākumus cietušo un viņu bērnu efektīvai un tūlītējai aizsardzībai;</w:t>
      </w:r>
    </w:p>
    <w:p w14:paraId="69D11FE1" w14:textId="718DC1F9" w:rsidR="00840DBA" w:rsidRPr="00E91B41" w:rsidRDefault="00840DBA" w:rsidP="00126E5F">
      <w:pPr>
        <w:numPr>
          <w:ilvl w:val="0"/>
          <w:numId w:val="6"/>
        </w:numPr>
        <w:ind w:left="1134" w:hanging="567"/>
      </w:pPr>
      <w:r>
        <w:lastRenderedPageBreak/>
        <w:t xml:space="preserve">nodrošināt policijas, publisko iestāžu un specializēto uzņemšanas centru, tostarp patversmju, darbinieku apmācību </w:t>
      </w:r>
      <w:proofErr w:type="spellStart"/>
      <w:r>
        <w:t>dzimumsensitivitātes</w:t>
      </w:r>
      <w:proofErr w:type="spellEnd"/>
      <w:r>
        <w:t xml:space="preserve"> jomā attiecībā uz sievietēm, kas cietušas no </w:t>
      </w:r>
      <w:proofErr w:type="spellStart"/>
      <w:r>
        <w:t>dzimumbalstītas</w:t>
      </w:r>
      <w:proofErr w:type="spellEnd"/>
      <w:r>
        <w:t xml:space="preserve"> vardarbības, prioritāri šādās mācības paredzot neatliekamās palīdzības sniedzējiem;</w:t>
      </w:r>
    </w:p>
    <w:p w14:paraId="1370AFB7" w14:textId="77777777" w:rsidR="003B351E" w:rsidRPr="00E91B41" w:rsidRDefault="00FF04B6" w:rsidP="00126E5F">
      <w:pPr>
        <w:numPr>
          <w:ilvl w:val="0"/>
          <w:numId w:val="6"/>
        </w:numPr>
        <w:ind w:left="1134" w:hanging="567"/>
      </w:pPr>
      <w:r>
        <w:t>vākt administratīvos datus par intīmā partnera vardarbību un sieviešu un meiteņu slepkavībām, kas saistītas ar dzimumu (</w:t>
      </w:r>
      <w:proofErr w:type="spellStart"/>
      <w:r>
        <w:t>feminicīdiem</w:t>
      </w:r>
      <w:proofErr w:type="spellEnd"/>
      <w:r>
        <w:t>), lai palīdzētu tās novērst un apkarot;</w:t>
      </w:r>
    </w:p>
    <w:p w14:paraId="752338A8" w14:textId="77777777" w:rsidR="003B351E" w:rsidRPr="00E91B41" w:rsidRDefault="00FF04B6" w:rsidP="00126E5F">
      <w:pPr>
        <w:numPr>
          <w:ilvl w:val="0"/>
          <w:numId w:val="6"/>
        </w:numPr>
        <w:ind w:left="1134" w:hanging="567"/>
      </w:pPr>
      <w:r>
        <w:t xml:space="preserve">piemērot pilnīgas neiecietības politiku </w:t>
      </w:r>
      <w:proofErr w:type="spellStart"/>
      <w:r>
        <w:t>seksistiskai</w:t>
      </w:r>
      <w:proofErr w:type="spellEnd"/>
      <w:r>
        <w:t xml:space="preserve"> reklāmai, tostarp sabiedriskās vietās un sabiedriskajā transportā, jo tas veicina kaitīgus dzimumu stereotipus; </w:t>
      </w:r>
    </w:p>
    <w:p w14:paraId="315213B2" w14:textId="68241AAD" w:rsidR="003B351E" w:rsidRPr="00E91B41" w:rsidRDefault="00FF04B6" w:rsidP="00126E5F">
      <w:pPr>
        <w:numPr>
          <w:ilvl w:val="0"/>
          <w:numId w:val="6"/>
        </w:numPr>
        <w:ind w:left="1134" w:hanging="567"/>
      </w:pPr>
      <w:r>
        <w:t>lemjot par budžeta pasākumiem, kas paredzēti sabiedriskajiem pakalpojumiem, piemēram, ielu apgaismojumam, sabiedriskajam transportam un to sociālo dienestu resursiem, kas palīdz ar dzimumu saistītā vardarbībā cietušajām personām, sistemātiski ņemt vērā sieviešu drošību un vajadzības;</w:t>
      </w:r>
    </w:p>
    <w:p w14:paraId="3CCD35B5" w14:textId="64E5E95A" w:rsidR="00D7578C" w:rsidRPr="00E91B41" w:rsidRDefault="00D7578C" w:rsidP="00126E5F">
      <w:pPr>
        <w:numPr>
          <w:ilvl w:val="0"/>
          <w:numId w:val="6"/>
        </w:numPr>
        <w:ind w:left="1134" w:hanging="567"/>
      </w:pPr>
      <w:bookmarkStart w:id="0" w:name="_Hlk126162679"/>
      <w:r>
        <w:t>organizēt izglītojošas programmas/mācības/prezentācijas skolās un augstskolās kā papildinājumu dzimumizglītības mācību programmām, lai jau no agrīna vecuma vairotu izpratni par uzmākšanās un ar dzimumu saistītas vardarbības ietekmi;</w:t>
      </w:r>
      <w:bookmarkEnd w:id="0"/>
    </w:p>
    <w:p w14:paraId="567CF1E6" w14:textId="77777777" w:rsidR="00D7578C" w:rsidRPr="00E91B41" w:rsidRDefault="00FF04B6" w:rsidP="00126E5F">
      <w:pPr>
        <w:numPr>
          <w:ilvl w:val="0"/>
          <w:numId w:val="6"/>
        </w:numPr>
        <w:ind w:left="1134" w:hanging="567"/>
      </w:pPr>
      <w:r>
        <w:t>saglabāt modrību un piemērot tūlītējas sankcijas par cilvēku tirdzniecības gadījumiem un par sievietēm un meitenēm kaitīgu praksi (sieviešu dzimumorgānu kropļošana, agrīnas un piespiedu laulības, piespiedu sterilizācija);</w:t>
      </w:r>
    </w:p>
    <w:p w14:paraId="0BBC2CCE" w14:textId="77777777" w:rsidR="00D7578C" w:rsidRPr="00E91B41" w:rsidRDefault="00FF04B6" w:rsidP="00126E5F">
      <w:pPr>
        <w:numPr>
          <w:ilvl w:val="0"/>
          <w:numId w:val="6"/>
        </w:numPr>
        <w:ind w:left="1134" w:hanging="567"/>
      </w:pPr>
      <w:r>
        <w:t xml:space="preserve">saglabāt modrību un piemērot pilnīgu neiecietību pret jebkāda veida </w:t>
      </w:r>
      <w:proofErr w:type="spellStart"/>
      <w:r>
        <w:t>kibervardarbību</w:t>
      </w:r>
      <w:proofErr w:type="spellEnd"/>
      <w:r>
        <w:t>, kas saistīta ar dzimumu;</w:t>
      </w:r>
    </w:p>
    <w:p w14:paraId="6A04C8ED" w14:textId="77777777" w:rsidR="00D7578C" w:rsidRPr="00E91B41" w:rsidRDefault="00155B5B" w:rsidP="00126E5F">
      <w:pPr>
        <w:numPr>
          <w:ilvl w:val="0"/>
          <w:numId w:val="6"/>
        </w:numPr>
        <w:ind w:left="1134" w:hanging="567"/>
      </w:pPr>
      <w:r>
        <w:t xml:space="preserve">vairot sabiedrības informētību par vardarbību, kas saistīta ar dzimumu, un šim nolūkam izmantot komunikācijas kampaņas, kurās informē arī cietušās personas par to, kur un kā saņemt palīdzību, ar šādu pasākumu kulmināciju Starptautiskajā dienā vardarbības pret sievietēm izskaušanai (25. novembris); </w:t>
      </w:r>
    </w:p>
    <w:p w14:paraId="0000002D" w14:textId="1BA154B6" w:rsidR="00D50B28" w:rsidRPr="00CF1E0A" w:rsidRDefault="00FF04B6" w:rsidP="00126E5F">
      <w:pPr>
        <w:numPr>
          <w:ilvl w:val="0"/>
          <w:numId w:val="6"/>
        </w:numPr>
        <w:ind w:left="1134" w:hanging="567"/>
      </w:pPr>
      <w:r>
        <w:t xml:space="preserve">rādīt piemēru ar XXX vietējās/pilsētas/novada pašvaldības organizāciju un darbu.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A5707"/>
    <w:rsid w:val="001F01E6"/>
    <w:rsid w:val="00236DF8"/>
    <w:rsid w:val="00260BFF"/>
    <w:rsid w:val="002A262C"/>
    <w:rsid w:val="00321301"/>
    <w:rsid w:val="0032527B"/>
    <w:rsid w:val="00350448"/>
    <w:rsid w:val="0036345D"/>
    <w:rsid w:val="00383F5D"/>
    <w:rsid w:val="003B351E"/>
    <w:rsid w:val="003C5B7C"/>
    <w:rsid w:val="003D0AC1"/>
    <w:rsid w:val="003D59C7"/>
    <w:rsid w:val="003D6677"/>
    <w:rsid w:val="003F5D79"/>
    <w:rsid w:val="003F64DE"/>
    <w:rsid w:val="0043276B"/>
    <w:rsid w:val="0043707C"/>
    <w:rsid w:val="0044645C"/>
    <w:rsid w:val="00456376"/>
    <w:rsid w:val="00473D1F"/>
    <w:rsid w:val="00494A60"/>
    <w:rsid w:val="004B4A5C"/>
    <w:rsid w:val="004D6AFD"/>
    <w:rsid w:val="004F07E0"/>
    <w:rsid w:val="00527C39"/>
    <w:rsid w:val="005365B6"/>
    <w:rsid w:val="00537037"/>
    <w:rsid w:val="00570266"/>
    <w:rsid w:val="005F7C88"/>
    <w:rsid w:val="006110AD"/>
    <w:rsid w:val="00656BC1"/>
    <w:rsid w:val="0066557B"/>
    <w:rsid w:val="006A48E1"/>
    <w:rsid w:val="006A671D"/>
    <w:rsid w:val="006D6E47"/>
    <w:rsid w:val="006E0600"/>
    <w:rsid w:val="00705B05"/>
    <w:rsid w:val="007750C5"/>
    <w:rsid w:val="0078512B"/>
    <w:rsid w:val="007C0121"/>
    <w:rsid w:val="008347FB"/>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A372B"/>
    <w:rsid w:val="00EC0640"/>
    <w:rsid w:val="00F05277"/>
    <w:rsid w:val="00F15384"/>
    <w:rsid w:val="00F15CCB"/>
    <w:rsid w:val="00F56348"/>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lv-LV" w:eastAsia="en-US"/>
    </w:rPr>
  </w:style>
  <w:style w:type="character" w:customStyle="1" w:styleId="Heading2Char">
    <w:name w:val="Heading 2 Char"/>
    <w:basedOn w:val="DefaultParagraphFont"/>
    <w:link w:val="Heading2"/>
    <w:rsid w:val="000E2371"/>
    <w:rPr>
      <w:lang w:val="lv-LV" w:eastAsia="en-US"/>
    </w:rPr>
  </w:style>
  <w:style w:type="character" w:customStyle="1" w:styleId="Heading3Char">
    <w:name w:val="Heading 3 Char"/>
    <w:basedOn w:val="DefaultParagraphFont"/>
    <w:link w:val="Heading3"/>
    <w:rsid w:val="000E2371"/>
    <w:rPr>
      <w:lang w:val="lv-LV" w:eastAsia="en-US"/>
    </w:rPr>
  </w:style>
  <w:style w:type="character" w:customStyle="1" w:styleId="Heading4Char">
    <w:name w:val="Heading 4 Char"/>
    <w:basedOn w:val="DefaultParagraphFont"/>
    <w:link w:val="Heading4"/>
    <w:rsid w:val="000E2371"/>
    <w:rPr>
      <w:lang w:val="lv-LV" w:eastAsia="en-US"/>
    </w:rPr>
  </w:style>
  <w:style w:type="character" w:customStyle="1" w:styleId="Heading5Char">
    <w:name w:val="Heading 5 Char"/>
    <w:basedOn w:val="DefaultParagraphFont"/>
    <w:link w:val="Heading5"/>
    <w:rsid w:val="000E2371"/>
    <w:rPr>
      <w:lang w:val="lv-LV" w:eastAsia="en-US"/>
    </w:rPr>
  </w:style>
  <w:style w:type="character" w:customStyle="1" w:styleId="Heading6Char">
    <w:name w:val="Heading 6 Char"/>
    <w:basedOn w:val="DefaultParagraphFont"/>
    <w:link w:val="Heading6"/>
    <w:rsid w:val="000E2371"/>
    <w:rPr>
      <w:lang w:val="lv-LV" w:eastAsia="en-US"/>
    </w:rPr>
  </w:style>
  <w:style w:type="character" w:customStyle="1" w:styleId="Heading7Char">
    <w:name w:val="Heading 7 Char"/>
    <w:basedOn w:val="DefaultParagraphFont"/>
    <w:link w:val="Heading7"/>
    <w:rsid w:val="000E2371"/>
    <w:rPr>
      <w:lang w:val="lv-LV" w:eastAsia="en-US"/>
    </w:rPr>
  </w:style>
  <w:style w:type="character" w:customStyle="1" w:styleId="Heading8Char">
    <w:name w:val="Heading 8 Char"/>
    <w:basedOn w:val="DefaultParagraphFont"/>
    <w:link w:val="Heading8"/>
    <w:rsid w:val="000E2371"/>
    <w:rPr>
      <w:lang w:val="lv-LV" w:eastAsia="en-US"/>
    </w:rPr>
  </w:style>
  <w:style w:type="character" w:customStyle="1" w:styleId="Heading9Char">
    <w:name w:val="Heading 9 Char"/>
    <w:basedOn w:val="DefaultParagraphFont"/>
    <w:link w:val="Heading9"/>
    <w:rsid w:val="000E2371"/>
    <w:rPr>
      <w:lang w:val="lv-LV"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lv-LV"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lv-LV"/>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lv-LV"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PWMHTDDKQ3QZ-1287546590-1427</_dlc_DocId>
    <_dlc_DocIdUrl xmlns="eff9f743-c5e6-45b1-888b-0c3422c38b02">
      <Url>http://dm2016/cor/2023/_layouts/15/DocIdRedir.aspx?ID=PWMHTDDKQ3QZ-1287546590-1427</Url>
      <Description>PWMHTDDKQ3QZ-1287546590-1427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Skubina Ieva</DisplayName>
        <AccountId>1623</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2283D9-99C2-4B64-B07D-725A6A25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EA4A9-239A-4257-A7B5-9480D40DF735}">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3.xml><?xml version="1.0" encoding="utf-8"?>
<ds:datastoreItem xmlns:ds="http://schemas.openxmlformats.org/officeDocument/2006/customXml" ds:itemID="{4970F33A-F09F-4611-8043-DAB16F14B349}">
  <ds:schemaRefs>
    <ds:schemaRef ds:uri="http://schemas.microsoft.com/sharepoint/v3/contenttype/forms"/>
  </ds:schemaRefs>
</ds:datastoreItem>
</file>

<file path=customXml/itemProps4.xml><?xml version="1.0" encoding="utf-8"?>
<ds:datastoreItem xmlns:ds="http://schemas.openxmlformats.org/officeDocument/2006/customXml" ds:itemID="{4A6E926E-5A5F-4E8D-990E-0574750FC0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1231</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Atjaunota rezolūcija par sievietēm_EN</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10</cp:revision>
  <dcterms:created xsi:type="dcterms:W3CDTF">2023-02-06T09:51:00Z</dcterms:created>
  <dcterms:modified xsi:type="dcterms:W3CDTF">2023-02-18T15:49:00Z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ce90431e-c944-40f0-8e32-910bb7841423</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BG|1a1b3951-7821-4e6a-85f5-5673fc08bd2c;EN|f2175f21-25d7-44a3-96da-d6a61b075e1b;NL|55c6556c-b4f4-441d-9acf-c498d4f838bd;SV|c2ed69e7-a339-43d7-8f22-d93680a92aa0;CS|72f9705b-0217-4fd3-bea2-cbc7ed80e26e;DE|f6b31e5a-26fa-4935-b661-318e46daf27e;EL|6d4f4d51-af9b-4650-94b4-4276bee85c91;MT|7df99101-6854-4a26-b53a-b88c0da02c26;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28;#BG|1a1b3951-7821-4e6a-85f5-5673fc08bd2c;#21;#CS|72f9705b-0217-4fd3-bea2-cbc7ed80e26e;#20;#NL|55c6556c-b4f4-441d-9acf-c498d4f838bd;#19;#SK|46d9fce0-ef79-4f71-b89b-cd6aa82426b8;#18;#PL|1e03da61-4678-4e07-b136-b5024ca9197b;#17;#DE|f6b31e5a-26fa-4935-b661-318e46daf27e;#14;#RO|feb747a2-64cd-4299-af12-4833ddc30497;#13;#MT|7df99101-6854-4a26-b53a-b88c0da02c26;#10;#SV|c2ed69e7-a339-43d7-8f22-d93680a92aa0;#7;#Final|ea5e6674-7b27-4bac-b091-73adbb394efe;#35;#EL|6d4f4d51-af9b-4650-94b4-4276bee85c91;#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26;#LV|46f7e311-5d9f-4663-b433-18aeccb7ace7</vt:lpwstr>
  </property>
</Properties>
</file>