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Textul modelului de rezoluție de mai jos poate fi adaptat de consiliile locale sau regionale interesate, în funcție de particularitățile contextului lor local sau regional. </w:t>
      </w:r>
    </w:p>
    <w:p w14:paraId="00000002" w14:textId="3C8D5356" w:rsidR="00D50B28" w:rsidRPr="00E91B41" w:rsidRDefault="00D50B28" w:rsidP="00126E5F">
      <w:pPr>
        <w:rPr>
          <w:b/>
          <w:i/>
        </w:rPr>
      </w:pPr>
    </w:p>
    <w:p w14:paraId="00000003" w14:textId="0478755D" w:rsidR="00D50B28" w:rsidRPr="00E91B41" w:rsidRDefault="00FF04B6" w:rsidP="00FA6254">
      <w:pPr>
        <w:spacing w:line="360" w:lineRule="auto"/>
        <w:rPr>
          <w:b/>
        </w:rPr>
      </w:pPr>
      <w:r>
        <w:rPr>
          <w:b/>
        </w:rPr>
        <w:t>Model de rezoluție a Consiliului Local/Regional prin care ____________________</w:t>
      </w:r>
      <w:r w:rsidR="00445A57">
        <w:rPr>
          <w:b/>
        </w:rPr>
        <w:t>______________</w:t>
      </w:r>
      <w:r>
        <w:rPr>
          <w:b/>
        </w:rPr>
        <w:t xml:space="preserve"> </w:t>
      </w:r>
      <w:r w:rsidR="00445A57">
        <w:rPr>
          <w:b/>
        </w:rPr>
        <w:t xml:space="preserve">_______________ </w:t>
      </w:r>
      <w:r>
        <w:rPr>
          <w:b/>
        </w:rPr>
        <w:t>(numele localității/regiunii) ESTE DECLARAT(Ă) „Zonă sigură pentru femei”</w:t>
      </w:r>
    </w:p>
    <w:p w14:paraId="00000004" w14:textId="77777777" w:rsidR="00D50B28" w:rsidRPr="00E91B41" w:rsidRDefault="00D50B28" w:rsidP="00126E5F">
      <w:pPr>
        <w:rPr>
          <w:lang w:val="en-GB"/>
        </w:rPr>
      </w:pPr>
    </w:p>
    <w:p w14:paraId="00000005" w14:textId="2BB5714D" w:rsidR="00D50B28" w:rsidRPr="00E91B41" w:rsidRDefault="00FF04B6" w:rsidP="00126E5F">
      <w:r>
        <w:t>Consiliul Local/Regional (a se elimina mențiunea inutilă) ______________________</w:t>
      </w:r>
      <w:r w:rsidR="00445A57">
        <w:t>_______</w:t>
      </w:r>
      <w:r>
        <w:t xml:space="preserve"> (numele orașului/regiunii),</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având în vedere Declarația universală a drepturilor omului,</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având în vedere articolele 2 și 3 din Tratatul privind Uniunea Europeană (Tratatul TUE),</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având în vedere Carta drepturilor fundamentale a Uniunii Europene,</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având în vedere Convenția europeană a drepturilor omului și jurisprudența aferentă a Curții Europene a Drepturilor Omului,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având în vedere Convenția Consiliului Europei privind prevenirea și combaterea violenței împotriva femeilor și a violenței domestice (Convenția de la Istanbul),</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având în vedere propunerea Comisiei de directivă din 8 martie 2022 privind combaterea violenței împotriva femeilor și a violenței domestice,</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 xml:space="preserve">având în vedere comunicarea Comisiei din 5 martie 2020 intitulată </w:t>
      </w:r>
      <w:r>
        <w:rPr>
          <w:i/>
          <w:color w:val="000000" w:themeColor="text1"/>
          <w:sz w:val="22"/>
        </w:rPr>
        <w:t>O Uniune a egalității: Strategia privind egalitatea de gen 2020-2025</w:t>
      </w:r>
      <w:r>
        <w:rPr>
          <w:color w:val="000000" w:themeColor="text1"/>
          <w:sz w:val="22"/>
        </w:rPr>
        <w:t>,</w:t>
      </w:r>
    </w:p>
    <w:p w14:paraId="0000000E" w14:textId="77777777" w:rsidR="00D50B28" w:rsidRPr="00E91B41" w:rsidRDefault="00FF04B6" w:rsidP="00E91B41">
      <w:pPr>
        <w:pStyle w:val="ListParagraph"/>
        <w:numPr>
          <w:ilvl w:val="0"/>
          <w:numId w:val="11"/>
        </w:numPr>
        <w:tabs>
          <w:tab w:val="clear" w:pos="0"/>
        </w:tabs>
        <w:ind w:left="850"/>
      </w:pPr>
      <w:r>
        <w:t>având în vedere Rezoluția Parlamentului European din 16 septembrie 2021 conținând recomandări adresate Comisiei privind identificarea violenței de gen ca un nou domeniu al criminalității enumerat la articolul 83 alineatul (1) din TFUE,</w:t>
      </w:r>
    </w:p>
    <w:p w14:paraId="0000000F" w14:textId="6FB53ADD" w:rsidR="00D50B28" w:rsidRPr="00CF1E0A" w:rsidRDefault="00FF04B6" w:rsidP="00E91B41">
      <w:pPr>
        <w:pStyle w:val="ListParagraph"/>
        <w:numPr>
          <w:ilvl w:val="0"/>
          <w:numId w:val="11"/>
        </w:numPr>
        <w:tabs>
          <w:tab w:val="clear" w:pos="0"/>
        </w:tabs>
        <w:ind w:left="850"/>
      </w:pPr>
      <w:r>
        <w:t>având în vedere Rezoluția Parlamentului European din 12 februarie 2020 referitoare la o strategie a UE pentru a eradica mutilarea genitală a femeilor în întreaga lume,</w:t>
      </w:r>
    </w:p>
    <w:p w14:paraId="00000010" w14:textId="77777777" w:rsidR="00D50B28" w:rsidRPr="00E91B41" w:rsidRDefault="00FF04B6" w:rsidP="00E91B41">
      <w:pPr>
        <w:pStyle w:val="ListParagraph"/>
        <w:numPr>
          <w:ilvl w:val="0"/>
          <w:numId w:val="11"/>
        </w:numPr>
        <w:tabs>
          <w:tab w:val="clear" w:pos="0"/>
        </w:tabs>
        <w:ind w:left="850"/>
      </w:pPr>
      <w:r>
        <w:t>având în vedere Convenția ONU privind eliminarea tuturor formelor de discriminare față de femei (CEDAW),</w:t>
      </w:r>
    </w:p>
    <w:p w14:paraId="00000011" w14:textId="4158C624" w:rsidR="00D50B28" w:rsidRPr="00E91B41" w:rsidRDefault="00FF04B6" w:rsidP="00E91B41">
      <w:pPr>
        <w:pStyle w:val="ListParagraph"/>
        <w:numPr>
          <w:ilvl w:val="0"/>
          <w:numId w:val="11"/>
        </w:numPr>
        <w:tabs>
          <w:tab w:val="clear" w:pos="0"/>
        </w:tabs>
        <w:ind w:left="850"/>
      </w:pPr>
      <w:r>
        <w:t>având în vedere Convenția nr. 190 a Organizației Internaționale a Muncii privind eliminarea violenței și a hărțuirii în lumea muncii,</w:t>
      </w:r>
    </w:p>
    <w:p w14:paraId="00000012" w14:textId="42155ADE" w:rsidR="00D50B28" w:rsidRPr="00CF1E0A" w:rsidRDefault="00FF04B6" w:rsidP="00E91B41">
      <w:pPr>
        <w:pStyle w:val="ListParagraph"/>
        <w:numPr>
          <w:ilvl w:val="0"/>
          <w:numId w:val="11"/>
        </w:numPr>
        <w:tabs>
          <w:tab w:val="clear" w:pos="0"/>
        </w:tabs>
        <w:ind w:left="850"/>
      </w:pPr>
      <w:r>
        <w:t>având în vedere obiectivul de dezvoltare durabilă nr. 5 al Organizației Națiunilor Unite, „Egalitatea de gen”,</w:t>
      </w:r>
    </w:p>
    <w:p w14:paraId="00000013" w14:textId="2F63E25F" w:rsidR="00D50B28" w:rsidRPr="00E91B41" w:rsidRDefault="00FF04B6" w:rsidP="00E91B41">
      <w:pPr>
        <w:pStyle w:val="ListParagraph"/>
        <w:numPr>
          <w:ilvl w:val="0"/>
          <w:numId w:val="11"/>
        </w:numPr>
        <w:tabs>
          <w:tab w:val="clear" w:pos="0"/>
        </w:tabs>
        <w:ind w:left="850"/>
      </w:pPr>
      <w:r>
        <w:t>având în vedere Rezoluția Parlamentului European din 14 decembrie 2021 conținând recomandări adresate Comisiei privind combaterea violenței cibernetice pe criterii de gen,</w:t>
      </w:r>
    </w:p>
    <w:p w14:paraId="19B3B425" w14:textId="5E07C1A3" w:rsidR="0088414D" w:rsidRPr="00E91B41" w:rsidRDefault="0088414D" w:rsidP="00E91B41">
      <w:pPr>
        <w:pStyle w:val="ListParagraph"/>
        <w:numPr>
          <w:ilvl w:val="0"/>
          <w:numId w:val="11"/>
        </w:numPr>
        <w:tabs>
          <w:tab w:val="clear" w:pos="0"/>
        </w:tabs>
        <w:ind w:left="850"/>
      </w:pPr>
      <w:r>
        <w:t xml:space="preserve">având în vedere Rezoluția Consiliului regiunii Valencia privind declararea regiunii ca </w:t>
      </w:r>
      <w:r>
        <w:rPr>
          <w:i/>
        </w:rPr>
        <w:t>„Zonă</w:t>
      </w:r>
      <w:r w:rsidR="00445A57">
        <w:rPr>
          <w:i/>
        </w:rPr>
        <w:t> </w:t>
      </w:r>
      <w:r>
        <w:rPr>
          <w:i/>
        </w:rPr>
        <w:t>sigură pentru femei”</w:t>
      </w:r>
      <w:r>
        <w:t>,</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întrucât egalitatea între femei și bărbați constituie o valoare fundamentală a Uniunii și un drept fundamental, consacrat în tratate și în Carta drepturilor fundamentale a Uniunii Europene; </w:t>
      </w:r>
    </w:p>
    <w:p w14:paraId="00000016" w14:textId="77777777" w:rsidR="00D50B28" w:rsidRPr="00E91B41" w:rsidRDefault="00FF04B6" w:rsidP="00126E5F">
      <w:pPr>
        <w:pStyle w:val="ListParagraph"/>
        <w:numPr>
          <w:ilvl w:val="0"/>
          <w:numId w:val="5"/>
        </w:numPr>
        <w:shd w:val="clear" w:color="auto" w:fill="FFFFFF"/>
        <w:ind w:left="1134" w:hanging="567"/>
      </w:pPr>
      <w:r>
        <w:t>întrucât combaterea violenței pe criterii de gen în UE este o responsabilitate comună, care necesită eforturi și acțiuni comune la toate nivelurile de guvernare, în special ale autorităților locale și regionale, care au un rol esențial în acest sens, fiind cele mai apropiate de oameni la nivel local;</w:t>
      </w:r>
    </w:p>
    <w:p w14:paraId="547091C0" w14:textId="77777777" w:rsidR="009B4BD2" w:rsidRPr="00E91B41" w:rsidRDefault="00FF04B6" w:rsidP="00126E5F">
      <w:pPr>
        <w:pStyle w:val="ListParagraph"/>
        <w:numPr>
          <w:ilvl w:val="0"/>
          <w:numId w:val="5"/>
        </w:numPr>
        <w:shd w:val="clear" w:color="auto" w:fill="FFFFFF"/>
        <w:ind w:left="1134" w:hanging="567"/>
      </w:pPr>
      <w:r>
        <w:t>întrucât eliminarea violenței de gen, inclusiv a violenței bărbaților împotriva femeilor și fetelor, este o condiție prealabilă pentru realizarea unei egalități de gen reale;</w:t>
      </w:r>
    </w:p>
    <w:p w14:paraId="67C856DB" w14:textId="5158BDA7" w:rsidR="00FF4EE4" w:rsidRPr="00E91B41" w:rsidRDefault="00FF04B6" w:rsidP="00126E5F">
      <w:pPr>
        <w:pStyle w:val="ListParagraph"/>
        <w:numPr>
          <w:ilvl w:val="0"/>
          <w:numId w:val="5"/>
        </w:numPr>
        <w:shd w:val="clear" w:color="auto" w:fill="FFFFFF"/>
        <w:ind w:left="1134" w:hanging="567"/>
      </w:pPr>
      <w:r>
        <w:lastRenderedPageBreak/>
        <w:t>întrucât 31 % dintre femeile din Europa au fost victime ale violenței fizice, 5 % au fost violate în țările UE, aproximativ 50 de femei și-au pierdut viața din cauza violenței de gen în fiecare săptămână, iar 43 % dintre femei au fost victime ale unei forme de violență psihologică din partea unui partener intim, în condițiile în care se estimează că violența este încă foarte puțin raportată;</w:t>
      </w:r>
    </w:p>
    <w:p w14:paraId="00000019" w14:textId="749DBCAA" w:rsidR="00D50B28" w:rsidRPr="00E91B41" w:rsidRDefault="009C55EF" w:rsidP="00126E5F">
      <w:pPr>
        <w:pStyle w:val="ListParagraph"/>
        <w:numPr>
          <w:ilvl w:val="0"/>
          <w:numId w:val="5"/>
        </w:numPr>
        <w:shd w:val="clear" w:color="auto" w:fill="FFFFFF"/>
        <w:ind w:left="1134" w:hanging="567"/>
      </w:pPr>
      <w:r>
        <w:t>întrucât violența de gen, atât online, cât și offline, și lipsa accesului la o protecție adecvată pun în pericol o serie de drepturi fundamentale, inclusiv drepturile la viață, la demnitate umană, la integritate fizică și mentală, interzicerea torturii și a tratamentelor sau pedepselor inumane sau degradante, interzicerea sclaviei și a muncii forțate, dreptul la libertate și securitate și dreptul la respectarea vieții private și de familie;</w:t>
      </w:r>
    </w:p>
    <w:p w14:paraId="0000001A" w14:textId="67D82D6F" w:rsidR="00D50B28" w:rsidRPr="00E91B41" w:rsidRDefault="00FF04B6" w:rsidP="00126E5F">
      <w:pPr>
        <w:pStyle w:val="ListParagraph"/>
        <w:numPr>
          <w:ilvl w:val="0"/>
          <w:numId w:val="5"/>
        </w:numPr>
        <w:shd w:val="clear" w:color="auto" w:fill="FFFFFF"/>
        <w:ind w:left="1134" w:hanging="567"/>
      </w:pPr>
      <w:r>
        <w:t>întrucât cazurile de ucidere a femeilor și fetelor pe criterii de gen (</w:t>
      </w:r>
      <w:proofErr w:type="spellStart"/>
      <w:r>
        <w:t>femicide</w:t>
      </w:r>
      <w:proofErr w:type="spellEnd"/>
      <w:r>
        <w:t>) ar trebui să fie o categorie separată de infracțiuni, deoarece termenul neutru din punctul de vedere al genului al omuciderii ignoră realitățile inegalității, oprimării și violenței sistematice împotriva femeilor;</w:t>
      </w:r>
    </w:p>
    <w:p w14:paraId="59209E5F" w14:textId="6F453B37" w:rsidR="006A48E1" w:rsidRPr="00E91B41" w:rsidRDefault="006A48E1" w:rsidP="00126E5F">
      <w:pPr>
        <w:pStyle w:val="ListParagraph"/>
        <w:numPr>
          <w:ilvl w:val="0"/>
          <w:numId w:val="5"/>
        </w:numPr>
        <w:shd w:val="clear" w:color="auto" w:fill="FFFFFF"/>
        <w:ind w:left="1134" w:hanging="567"/>
      </w:pPr>
      <w:r>
        <w:t>întrucât violența de gen ar trebui identificată în temeiul tratatelor ca un domeniu de criminalitate în UE; </w:t>
      </w:r>
    </w:p>
    <w:p w14:paraId="0000001B" w14:textId="0A596767" w:rsidR="00D50B28" w:rsidRPr="00E91B41" w:rsidRDefault="00FF04B6" w:rsidP="00126E5F">
      <w:pPr>
        <w:pStyle w:val="ListParagraph"/>
        <w:numPr>
          <w:ilvl w:val="0"/>
          <w:numId w:val="5"/>
        </w:numPr>
        <w:shd w:val="clear" w:color="auto" w:fill="FFFFFF"/>
        <w:ind w:left="1134" w:hanging="567"/>
      </w:pPr>
      <w:r>
        <w:t>întrucât practicile de căsătorie timpurie și forțată și de mutilare genitală a femeilor, transmise prin tradiții și cultură, constituie o încălcare a drepturilor la libertate, demnitate umană și integritate fizică;</w:t>
      </w:r>
    </w:p>
    <w:p w14:paraId="26A48D57" w14:textId="22E094DD" w:rsidR="00AE19A0" w:rsidRPr="00E91B41" w:rsidRDefault="00FF04B6" w:rsidP="00126E5F">
      <w:pPr>
        <w:numPr>
          <w:ilvl w:val="0"/>
          <w:numId w:val="5"/>
        </w:numPr>
        <w:ind w:left="1134" w:hanging="567"/>
      </w:pPr>
      <w:r>
        <w:t xml:space="preserve">întrucât eliminarea stereotipurilor de gen și stoparea practicilor represive de gen prin programe de învățământ progresiste – unde ciclurile de învățământ preșcolar, primar și secundar joacă un rol esențial – sunt decisive pentru capacitarea deplină a fetelor; </w:t>
      </w:r>
    </w:p>
    <w:p w14:paraId="0000001C" w14:textId="55D130C6" w:rsidR="00D50B28" w:rsidRPr="00E91B41" w:rsidRDefault="00FF04B6" w:rsidP="00126E5F">
      <w:pPr>
        <w:numPr>
          <w:ilvl w:val="0"/>
          <w:numId w:val="5"/>
        </w:numPr>
        <w:ind w:left="1134" w:hanging="567"/>
      </w:pPr>
      <w:r>
        <w:t xml:space="preserve">întrucât disponibilitatea unei educații cuprinzătoare privind relațiile și sexualitatea, inclusiv a unor programe educative specializate pentru băieți, face parte integrantă din aceste programe de învățământ progresiste și joacă un rol fundamental în combaterea violenței de gen, a misoginiei și a stereotipurilor de gen; </w:t>
      </w:r>
    </w:p>
    <w:p w14:paraId="0000001D" w14:textId="020A28D6" w:rsidR="00D50B28" w:rsidRPr="00E91B41" w:rsidRDefault="00FF04B6" w:rsidP="00126E5F">
      <w:pPr>
        <w:numPr>
          <w:ilvl w:val="0"/>
          <w:numId w:val="5"/>
        </w:numPr>
        <w:ind w:left="1134" w:hanging="567"/>
      </w:pPr>
      <w:r>
        <w:t xml:space="preserve">întrucât toleranța zero a autorităților publice față de afișarea de imagini discriminatorii sau care reduc femeile la condiția de obiect în publicitatea din locurile publice este esențială pentru a elimina stereotipurile de gen care duc la violența de gen; </w:t>
      </w:r>
    </w:p>
    <w:p w14:paraId="0000001E" w14:textId="14FD27E0" w:rsidR="00D50B28" w:rsidRPr="00E91B41" w:rsidRDefault="009C55EF" w:rsidP="00126E5F">
      <w:pPr>
        <w:numPr>
          <w:ilvl w:val="0"/>
          <w:numId w:val="5"/>
        </w:numPr>
        <w:ind w:left="1134" w:hanging="567"/>
      </w:pPr>
      <w:r>
        <w:t>întrucât abordarea integratoare a egalității de gen și integrarea dimensiunii de gen în buget sunt esențiale pentru a garanta că se ține seama de femei în toate politicile și, ca atare, că astfel de politici vor face obiectul unor evaluări stricte ale impactului de gen, inclusiv în perioade de criză;</w:t>
      </w:r>
    </w:p>
    <w:p w14:paraId="0000001F" w14:textId="77777777" w:rsidR="00D50B28" w:rsidRPr="00E91B41" w:rsidRDefault="00D50B28" w:rsidP="00126E5F">
      <w:pPr>
        <w:rPr>
          <w:lang w:val="en-GB"/>
        </w:rPr>
      </w:pPr>
    </w:p>
    <w:p w14:paraId="00000020" w14:textId="194ADFC4" w:rsidR="00D50B28" w:rsidRPr="00E91B41" w:rsidRDefault="00FF04B6" w:rsidP="00126E5F">
      <w:r>
        <w:t xml:space="preserve">În lumina celor de mai sus, Consiliul Local/Regional (a se elimina mențiunea inutilă) </w:t>
      </w:r>
      <w:r w:rsidR="00445A57">
        <w:t>_______________________</w:t>
      </w:r>
      <w:r>
        <w:t>________________ (numele localității/regiunii) se angajează:</w:t>
      </w:r>
    </w:p>
    <w:p w14:paraId="00000021" w14:textId="77777777" w:rsidR="00D50B28" w:rsidRPr="00E91B41" w:rsidRDefault="00D50B28" w:rsidP="00126E5F"/>
    <w:p w14:paraId="00000022" w14:textId="23E4FF82" w:rsidR="00D50B28" w:rsidRPr="00E91B41" w:rsidRDefault="00FF04B6" w:rsidP="00126E5F">
      <w:pPr>
        <w:numPr>
          <w:ilvl w:val="0"/>
          <w:numId w:val="6"/>
        </w:numPr>
        <w:ind w:left="1134" w:hanging="567"/>
      </w:pPr>
      <w:r>
        <w:t>să declare ______________________</w:t>
      </w:r>
      <w:r w:rsidR="00445A57">
        <w:t>___________</w:t>
      </w:r>
      <w:r>
        <w:t xml:space="preserve"> (numele orașului/regiunii) drept </w:t>
      </w:r>
      <w:r>
        <w:rPr>
          <w:i/>
        </w:rPr>
        <w:t>Zonă</w:t>
      </w:r>
      <w:r w:rsidR="00445A57">
        <w:rPr>
          <w:i/>
        </w:rPr>
        <w:t> </w:t>
      </w:r>
      <w:r>
        <w:rPr>
          <w:i/>
        </w:rPr>
        <w:t>sigură pentru femei</w:t>
      </w:r>
      <w:r>
        <w:t xml:space="preserve"> și să se angajeze în politici publice care, pe de o parte, să garanteze siguranța femeilor și, pe de altă parte, să pedepsească explicit orice formă de violență de gen, asigurând implicarea deplină și echitabilă a femeilor pe tot parcursul procesului;</w:t>
      </w:r>
    </w:p>
    <w:p w14:paraId="00000023" w14:textId="55E30BEE" w:rsidR="00D50B28" w:rsidRPr="00E91B41" w:rsidRDefault="00FF04B6" w:rsidP="00126E5F">
      <w:pPr>
        <w:numPr>
          <w:ilvl w:val="0"/>
          <w:numId w:val="6"/>
        </w:numPr>
        <w:ind w:left="1134" w:hanging="567"/>
      </w:pPr>
      <w:r>
        <w:t>să asigure un acces direct și neîntrerupt la servicii de sprijin specializate, sigure și cuprinzătoare pentru victimele violenței de gen, inclusiv ale violenței domestice și sexuale;</w:t>
      </w:r>
    </w:p>
    <w:p w14:paraId="09712771" w14:textId="733FCC4E" w:rsidR="00840DBA" w:rsidRPr="00E91B41" w:rsidRDefault="00FF04B6" w:rsidP="00126E5F">
      <w:pPr>
        <w:numPr>
          <w:ilvl w:val="0"/>
          <w:numId w:val="6"/>
        </w:numPr>
        <w:ind w:left="1134" w:hanging="567"/>
      </w:pPr>
      <w:r>
        <w:lastRenderedPageBreak/>
        <w:t>să asigure reacția promptă a serviciilor competente pentru a înregistra și gestiona nediscriminatoriu incidentele de violență bazată pe gen și să prevadă măsuri pentru protecția efectivă și imediată a victimelor și a copiilor lor;</w:t>
      </w:r>
    </w:p>
    <w:p w14:paraId="69D11FE1" w14:textId="718DC1F9" w:rsidR="00840DBA" w:rsidRPr="00E91B41" w:rsidRDefault="00840DBA" w:rsidP="00126E5F">
      <w:pPr>
        <w:numPr>
          <w:ilvl w:val="0"/>
          <w:numId w:val="6"/>
        </w:numPr>
        <w:ind w:left="1134" w:hanging="567"/>
      </w:pPr>
      <w:r>
        <w:t>să asigure acțiuni de formare care să țină seama de dimensiunea de gen pentru poliție, autorități publice și personalul centrelor de primire specializate și de adăpostire a femeilor care sunt victime ale violenței de gen, personalul de primă intervenție fiind o prioritate maximă pentru o astfel de formare;</w:t>
      </w:r>
    </w:p>
    <w:p w14:paraId="1370AFB7" w14:textId="77777777" w:rsidR="003B351E" w:rsidRPr="00E91B41" w:rsidRDefault="00FF04B6" w:rsidP="00126E5F">
      <w:pPr>
        <w:numPr>
          <w:ilvl w:val="0"/>
          <w:numId w:val="6"/>
        </w:numPr>
        <w:ind w:left="1134" w:hanging="567"/>
      </w:pPr>
      <w:r>
        <w:t>să colecteze date administrative privind violența în cuplu și uciderea a femeilor și fetelor (</w:t>
      </w:r>
      <w:proofErr w:type="spellStart"/>
      <w:r>
        <w:t>femicide</w:t>
      </w:r>
      <w:proofErr w:type="spellEnd"/>
      <w:r>
        <w:t>) din motive de gen, contribuind astfel la a le preveni și combate;</w:t>
      </w:r>
    </w:p>
    <w:p w14:paraId="752338A8" w14:textId="77777777" w:rsidR="003B351E" w:rsidRPr="00E91B41" w:rsidRDefault="00FF04B6" w:rsidP="00126E5F">
      <w:pPr>
        <w:numPr>
          <w:ilvl w:val="0"/>
          <w:numId w:val="6"/>
        </w:numPr>
        <w:ind w:left="1134" w:hanging="567"/>
      </w:pPr>
      <w:r>
        <w:t xml:space="preserve">să aplice o politică de toleranță zero pentru publicitatea sexistă, inclusiv în spații publice și în transportul public, deoarece promovează stereotipuri dăunătoare de gen; </w:t>
      </w:r>
    </w:p>
    <w:p w14:paraId="315213B2" w14:textId="68241AAD" w:rsidR="003B351E" w:rsidRPr="00E91B41" w:rsidRDefault="00FF04B6" w:rsidP="00126E5F">
      <w:pPr>
        <w:numPr>
          <w:ilvl w:val="0"/>
          <w:numId w:val="6"/>
        </w:numPr>
        <w:ind w:left="1134" w:hanging="567"/>
      </w:pPr>
      <w:r>
        <w:t>să ia în considerare sistematic siguranța și nevoile femeilor atunci când decid cu privire la măsurile bugetare legate de serviciile publice, cum ar fi iluminatul public, transportul public sau resursele din serviciile sociale destinate victimelor violenței de gen;</w:t>
      </w:r>
    </w:p>
    <w:p w14:paraId="3CCD35B5" w14:textId="64E5E95A" w:rsidR="00D7578C" w:rsidRPr="00E91B41" w:rsidRDefault="00D7578C" w:rsidP="00126E5F">
      <w:pPr>
        <w:numPr>
          <w:ilvl w:val="0"/>
          <w:numId w:val="6"/>
        </w:numPr>
        <w:ind w:left="1134" w:hanging="567"/>
      </w:pPr>
      <w:bookmarkStart w:id="0" w:name="_Hlk126162679"/>
      <w:r>
        <w:t>să organizeze programe educative/acțiuni de formare/prezentări în școli și universități care să completeze programele de învățământ privind relațiile și sexualitatea, sensibilizând de la o vârstă fragedă cu privire la impactul hărțuirii și violenței bazate pe gen;</w:t>
      </w:r>
      <w:bookmarkEnd w:id="0"/>
    </w:p>
    <w:p w14:paraId="567CF1E6" w14:textId="77777777" w:rsidR="00D7578C" w:rsidRPr="00E91B41" w:rsidRDefault="00FF04B6" w:rsidP="00126E5F">
      <w:pPr>
        <w:numPr>
          <w:ilvl w:val="0"/>
          <w:numId w:val="6"/>
        </w:numPr>
        <w:ind w:left="1134" w:hanging="567"/>
      </w:pPr>
      <w:r>
        <w:t>să rămână vigilent și să aplice sancțiuni imediate în cazurile de trafic de persoane și de practici dăunătoare femeilor și fetelor (mutilarea genitală a femeilor, căsătorii precoce și forțate, sterilizarea forțată);</w:t>
      </w:r>
    </w:p>
    <w:p w14:paraId="0BBC2CCE" w14:textId="77777777" w:rsidR="00D7578C" w:rsidRPr="00E91B41" w:rsidRDefault="00FF04B6" w:rsidP="00126E5F">
      <w:pPr>
        <w:numPr>
          <w:ilvl w:val="0"/>
          <w:numId w:val="6"/>
        </w:numPr>
        <w:ind w:left="1134" w:hanging="567"/>
      </w:pPr>
      <w:r>
        <w:t>să rămână vigilent și să aplice toleranță zero față de orice formă de violență cibernetică bazată pe criterii de gen;</w:t>
      </w:r>
    </w:p>
    <w:p w14:paraId="6A04C8ED" w14:textId="77777777" w:rsidR="00D7578C" w:rsidRPr="00E91B41" w:rsidRDefault="00155B5B" w:rsidP="00126E5F">
      <w:pPr>
        <w:numPr>
          <w:ilvl w:val="0"/>
          <w:numId w:val="6"/>
        </w:numPr>
        <w:ind w:left="1134" w:hanging="567"/>
      </w:pPr>
      <w:r>
        <w:t xml:space="preserve">să sensibilizeze publicul cu privire la violența de gen prin campanii de comunicare, menite inclusiv să informeze victimele cu privire la locul și modul de accesare a serviciilor de sprijin, astfel de activități culminând cu </w:t>
      </w:r>
      <w:r>
        <w:rPr>
          <w:i/>
        </w:rPr>
        <w:t>Ziua internațională pentru eliminarea violenței împotriva femeilor</w:t>
      </w:r>
      <w:r>
        <w:t xml:space="preserve"> (25 noiembrie); </w:t>
      </w:r>
    </w:p>
    <w:p w14:paraId="0000002D" w14:textId="1BA154B6" w:rsidR="00D50B28" w:rsidRPr="00CF1E0A" w:rsidRDefault="00FF04B6" w:rsidP="00126E5F">
      <w:pPr>
        <w:numPr>
          <w:ilvl w:val="0"/>
          <w:numId w:val="6"/>
        </w:numPr>
        <w:ind w:left="1134" w:hanging="567"/>
      </w:pPr>
      <w:r>
        <w:t xml:space="preserve">să fie precursor prin puterea exemplului în organizarea și funcționarea autorității locale/regionale XXX.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6DF8"/>
    <w:rsid w:val="00260BFF"/>
    <w:rsid w:val="002A0875"/>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5A57"/>
    <w:rsid w:val="0044645C"/>
    <w:rsid w:val="00456376"/>
    <w:rsid w:val="00473D1F"/>
    <w:rsid w:val="004761F5"/>
    <w:rsid w:val="00494A60"/>
    <w:rsid w:val="004B4A5C"/>
    <w:rsid w:val="004D6AFD"/>
    <w:rsid w:val="004F07E0"/>
    <w:rsid w:val="00527C39"/>
    <w:rsid w:val="005365B6"/>
    <w:rsid w:val="00537037"/>
    <w:rsid w:val="00570266"/>
    <w:rsid w:val="005F7C88"/>
    <w:rsid w:val="006110AD"/>
    <w:rsid w:val="00656BC1"/>
    <w:rsid w:val="0066557B"/>
    <w:rsid w:val="006A48E1"/>
    <w:rsid w:val="006D6E47"/>
    <w:rsid w:val="006E0600"/>
    <w:rsid w:val="00705B05"/>
    <w:rsid w:val="0077111C"/>
    <w:rsid w:val="007750C5"/>
    <w:rsid w:val="0078512B"/>
    <w:rsid w:val="007C0121"/>
    <w:rsid w:val="00840DBA"/>
    <w:rsid w:val="0088414D"/>
    <w:rsid w:val="00885358"/>
    <w:rsid w:val="00891928"/>
    <w:rsid w:val="00901E6D"/>
    <w:rsid w:val="00924EF3"/>
    <w:rsid w:val="00927252"/>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A2F89"/>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24E5B"/>
    <w:rsid w:val="00F56348"/>
    <w:rsid w:val="00FA6254"/>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o-RO"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ro-RO" w:eastAsia="en-US"/>
    </w:rPr>
  </w:style>
  <w:style w:type="character" w:customStyle="1" w:styleId="Heading2Char">
    <w:name w:val="Heading 2 Char"/>
    <w:basedOn w:val="DefaultParagraphFont"/>
    <w:link w:val="Heading2"/>
    <w:rsid w:val="000E2371"/>
    <w:rPr>
      <w:lang w:val="ro-RO" w:eastAsia="en-US"/>
    </w:rPr>
  </w:style>
  <w:style w:type="character" w:customStyle="1" w:styleId="Heading3Char">
    <w:name w:val="Heading 3 Char"/>
    <w:basedOn w:val="DefaultParagraphFont"/>
    <w:link w:val="Heading3"/>
    <w:rsid w:val="000E2371"/>
    <w:rPr>
      <w:lang w:val="ro-RO" w:eastAsia="en-US"/>
    </w:rPr>
  </w:style>
  <w:style w:type="character" w:customStyle="1" w:styleId="Heading4Char">
    <w:name w:val="Heading 4 Char"/>
    <w:basedOn w:val="DefaultParagraphFont"/>
    <w:link w:val="Heading4"/>
    <w:rsid w:val="000E2371"/>
    <w:rPr>
      <w:lang w:val="ro-RO" w:eastAsia="en-US"/>
    </w:rPr>
  </w:style>
  <w:style w:type="character" w:customStyle="1" w:styleId="Heading5Char">
    <w:name w:val="Heading 5 Char"/>
    <w:basedOn w:val="DefaultParagraphFont"/>
    <w:link w:val="Heading5"/>
    <w:rsid w:val="000E2371"/>
    <w:rPr>
      <w:lang w:val="ro-RO" w:eastAsia="en-US"/>
    </w:rPr>
  </w:style>
  <w:style w:type="character" w:customStyle="1" w:styleId="Heading6Char">
    <w:name w:val="Heading 6 Char"/>
    <w:basedOn w:val="DefaultParagraphFont"/>
    <w:link w:val="Heading6"/>
    <w:rsid w:val="000E2371"/>
    <w:rPr>
      <w:lang w:val="ro-RO" w:eastAsia="en-US"/>
    </w:rPr>
  </w:style>
  <w:style w:type="character" w:customStyle="1" w:styleId="Heading7Char">
    <w:name w:val="Heading 7 Char"/>
    <w:basedOn w:val="DefaultParagraphFont"/>
    <w:link w:val="Heading7"/>
    <w:rsid w:val="000E2371"/>
    <w:rPr>
      <w:lang w:val="ro-RO" w:eastAsia="en-US"/>
    </w:rPr>
  </w:style>
  <w:style w:type="character" w:customStyle="1" w:styleId="Heading8Char">
    <w:name w:val="Heading 8 Char"/>
    <w:basedOn w:val="DefaultParagraphFont"/>
    <w:link w:val="Heading8"/>
    <w:rsid w:val="000E2371"/>
    <w:rPr>
      <w:lang w:val="ro-RO" w:eastAsia="en-US"/>
    </w:rPr>
  </w:style>
  <w:style w:type="character" w:customStyle="1" w:styleId="Heading9Char">
    <w:name w:val="Heading 9 Char"/>
    <w:basedOn w:val="DefaultParagraphFont"/>
    <w:link w:val="Heading9"/>
    <w:rsid w:val="000E2371"/>
    <w:rPr>
      <w:lang w:val="ro-RO"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ro-RO"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ro-RO"/>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ro-RO"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PWMHTDDKQ3QZ-1287546590-1417</_dlc_DocId>
    <_dlc_DocIdUrl xmlns="eff9f743-c5e6-45b1-888b-0c3422c38b02">
      <Url>http://dm2016/cor/2023/_layouts/15/DocIdRedir.aspx?ID=PWMHTDDKQ3QZ-1287546590-1417</Url>
      <Description>PWMHTDDKQ3QZ-1287546590-1417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Greff Daniela</DisplayName>
        <AccountId>1570</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6C1E93-ECAD-4884-A69F-B883A9F7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408C3-54EB-407D-9BE2-7650D1B4C3CD}">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3.xml><?xml version="1.0" encoding="utf-8"?>
<ds:datastoreItem xmlns:ds="http://schemas.openxmlformats.org/officeDocument/2006/customXml" ds:itemID="{64C0F9D7-9424-4659-A9A8-F8432B141FE7}">
  <ds:schemaRefs>
    <ds:schemaRef ds:uri="http://schemas.microsoft.com/sharepoint/v3/contenttype/forms"/>
  </ds:schemaRefs>
</ds:datastoreItem>
</file>

<file path=customXml/itemProps4.xml><?xml version="1.0" encoding="utf-8"?>
<ds:datastoreItem xmlns:ds="http://schemas.openxmlformats.org/officeDocument/2006/customXml" ds:itemID="{FA2CE5BA-517F-4136-9FC2-F3F7F532DA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1301</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Updated resolution women_EN</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Zonă sigură pentru femei - rezoluție actualizată</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9</cp:revision>
  <dcterms:created xsi:type="dcterms:W3CDTF">2023-02-06T12:00:00Z</dcterms:created>
  <dcterms:modified xsi:type="dcterms:W3CDTF">2023-02-18T15:50:00Z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f1c67566-639e-419c-8813-ffb73b193569</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PL|1e03da61-4678-4e07-b136-b5024ca9197b;BG|1a1b3951-7821-4e6a-85f5-5673fc08bd2c;EN|f2175f21-25d7-44a3-96da-d6a61b075e1b;NL|55c6556c-b4f4-441d-9acf-c498d4f838bd;SV|c2ed69e7-a339-43d7-8f22-d93680a92aa0;CS|72f9705b-0217-4fd3-bea2-cbc7ed80e26e;SK|46d9fce0-ef79-4f71-b89b-cd6aa82426b8</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21;#CS|72f9705b-0217-4fd3-bea2-cbc7ed80e26e;#18;#PL|1e03da61-4678-4e07-b136-b5024ca9197b;#28;#BG|1a1b3951-7821-4e6a-85f5-5673fc08bd2c;#10;#SV|c2ed69e7-a339-43d7-8f22-d93680a92aa0;#4;#EN|f2175f21-25d7-44a3-96da-d6a61b075e1b;#7;#Final|ea5e6674-7b27-4bac-b091-73adbb394efe;#5;#Unrestricted|826e22d7-d029-4ec0-a450-0c28ff673572;#72;#DECL|3e2492ed-4ef9-4eb0-bb74-05f60f74f0a3;#20;#NL|55c6556c-b4f4-441d-9acf-c498d4f838bd;#2;#TRA|150d2a88-1431-44e6-a8ca-0bb753ab8672;#1;#CoR|cb2d75ef-4a7d-4393-b797-49ed6298a5ea;#19;#SK|46d9fce0-ef79-4f71-b89b-cd6aa82426b8</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14;#RO|feb747a2-64cd-4299-af12-4833ddc30497</vt:lpwstr>
  </property>
  <property fmtid="{D5CDD505-2E9C-101B-9397-08002B2CF9AE}" pid="35" name="_docset_NoMedatataSyncRequired">
    <vt:lpwstr>False</vt:lpwstr>
  </property>
</Properties>
</file>